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jc w:val="center"/>
        <w:textAlignment w:val="auto"/>
        <w:rPr>
          <w:rFonts w:hint="default" w:ascii="Nimbus Roman" w:hAnsi="Nimbus Roman" w:eastAsia="方正小标宋简体" w:cs="Nimbus Roman"/>
          <w:color w:val="auto"/>
          <w:sz w:val="44"/>
          <w:szCs w:val="44"/>
          <w:lang w:val="en-US" w:eastAsia="zh-CN"/>
        </w:rPr>
      </w:pPr>
      <w:r>
        <w:rPr>
          <w:rFonts w:hint="default" w:ascii="Nimbus Roman" w:hAnsi="Nimbus Roman" w:eastAsia="方正小标宋简体" w:cs="Nimbus Roman"/>
          <w:color w:val="auto"/>
          <w:sz w:val="44"/>
          <w:szCs w:val="44"/>
          <w:lang w:val="en-US" w:eastAsia="zh-CN"/>
        </w:rPr>
        <w:t>三门峡市开放强市建设工作方案</w:t>
      </w:r>
    </w:p>
    <w:p>
      <w:pPr>
        <w:keepNext w:val="0"/>
        <w:keepLines w:val="0"/>
        <w:pageBreakBefore w:val="0"/>
        <w:widowControl w:val="0"/>
        <w:kinsoku/>
        <w:wordWrap/>
        <w:overflowPunct/>
        <w:topLinePunct w:val="0"/>
        <w:autoSpaceDE/>
        <w:autoSpaceDN/>
        <w:bidi w:val="0"/>
        <w:adjustRightInd/>
        <w:snapToGrid/>
        <w:spacing w:line="620" w:lineRule="exact"/>
        <w:ind w:left="0" w:leftChars="0"/>
        <w:jc w:val="center"/>
        <w:textAlignment w:val="auto"/>
        <w:rPr>
          <w:rFonts w:hint="default" w:ascii="Nimbus Roman" w:hAnsi="Nimbus Roman" w:eastAsia="楷体_GB2312" w:cs="Nimbus Roman"/>
          <w:color w:val="auto"/>
          <w:sz w:val="32"/>
          <w:szCs w:val="32"/>
          <w:lang w:val="en-US" w:eastAsia="zh-CN"/>
        </w:rPr>
      </w:pPr>
      <w:r>
        <w:rPr>
          <w:rFonts w:hint="default" w:ascii="Nimbus Roman" w:hAnsi="Nimbus Roman" w:eastAsia="楷体_GB2312" w:cs="Nimbus Roman"/>
          <w:color w:val="auto"/>
          <w:sz w:val="32"/>
          <w:szCs w:val="32"/>
          <w:lang w:val="en-US" w:eastAsia="zh-CN"/>
        </w:rPr>
        <w:t>（</w:t>
      </w:r>
      <w:r>
        <w:rPr>
          <w:rFonts w:hint="eastAsia" w:ascii="Nimbus Roman" w:hAnsi="Nimbus Roman" w:eastAsia="楷体_GB2312" w:cs="Nimbus Roman"/>
          <w:color w:val="auto"/>
          <w:sz w:val="32"/>
          <w:szCs w:val="32"/>
          <w:lang w:val="en-US" w:eastAsia="zh-CN"/>
        </w:rPr>
        <w:t>征求意见稿</w:t>
      </w:r>
      <w:r>
        <w:rPr>
          <w:rFonts w:hint="default" w:ascii="Nimbus Roman" w:hAnsi="Nimbus Roman" w:eastAsia="楷体_GB2312" w:cs="Nimbus Roman"/>
          <w:color w:val="auto"/>
          <w:sz w:val="32"/>
          <w:szCs w:val="32"/>
          <w:lang w:val="en-US" w:eastAsia="zh-CN"/>
        </w:rPr>
        <w:t>）</w:t>
      </w:r>
    </w:p>
    <w:p>
      <w:pPr>
        <w:keepNext w:val="0"/>
        <w:keepLines w:val="0"/>
        <w:pageBreakBefore w:val="0"/>
        <w:kinsoku/>
        <w:wordWrap/>
        <w:overflowPunct/>
        <w:topLinePunct w:val="0"/>
        <w:autoSpaceDE/>
        <w:autoSpaceDN/>
        <w:bidi w:val="0"/>
        <w:spacing w:line="620" w:lineRule="exact"/>
        <w:ind w:left="0" w:leftChars="0"/>
        <w:textAlignment w:val="auto"/>
        <w:rPr>
          <w:rFonts w:hint="default" w:ascii="Nimbus Roman" w:hAnsi="Nimbus Roman" w:cs="Nimbus Roman"/>
          <w:color w:val="auto"/>
        </w:rPr>
      </w:pPr>
    </w:p>
    <w:p>
      <w:pPr>
        <w:keepNext w:val="0"/>
        <w:keepLines w:val="0"/>
        <w:pageBreakBefore w:val="0"/>
        <w:widowControl/>
        <w:suppressLineNumbers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Nimbus Roman" w:hAnsi="Nimbus Roman" w:eastAsia="仿宋_GB2312" w:cs="Nimbus Roman"/>
          <w:color w:val="auto"/>
          <w:sz w:val="32"/>
          <w:szCs w:val="32"/>
          <w:lang w:val="en-US" w:eastAsia="zh-CN"/>
        </w:rPr>
      </w:pPr>
      <w:r>
        <w:rPr>
          <w:rFonts w:hint="default" w:ascii="Nimbus Roman" w:hAnsi="Nimbus Roman" w:eastAsia="仿宋_GB2312" w:cs="Nimbus Roman"/>
          <w:color w:val="auto"/>
          <w:sz w:val="32"/>
          <w:szCs w:val="32"/>
          <w:lang w:val="en-US" w:eastAsia="zh-CN"/>
        </w:rPr>
        <w:t>为深入贯彻党的二十大和二十届历次全会精神，全面落实习近平总书记在河南考察时重要讲话精神和关于对外开放的重要论述，紧抓新时代推动中部地区高质量发展、黄河流域生态保护和高质量发展等国家战略机遇，加快构建开放型经济新体制，以高水平对外开放推动全市高质量发展，加快推进开放强市建设，现结合我市实际，制定本工作方案。</w:t>
      </w:r>
    </w:p>
    <w:p>
      <w:pPr>
        <w:keepNext w:val="0"/>
        <w:keepLines w:val="0"/>
        <w:pageBreakBefore w:val="0"/>
        <w:widowControl w:val="0"/>
        <w:kinsoku/>
        <w:wordWrap/>
        <w:overflowPunct/>
        <w:topLinePunct w:val="0"/>
        <w:autoSpaceDE/>
        <w:autoSpaceDN/>
        <w:bidi w:val="0"/>
        <w:adjustRightInd/>
        <w:spacing w:line="620" w:lineRule="exact"/>
        <w:ind w:left="0" w:leftChars="0" w:firstLine="640" w:firstLineChars="200"/>
        <w:jc w:val="both"/>
        <w:textAlignment w:val="auto"/>
        <w:rPr>
          <w:rFonts w:hint="default" w:ascii="Nimbus Roman" w:hAnsi="Nimbus Roman" w:eastAsia="仿宋_GB2312" w:cs="Nimbus Roman"/>
          <w:color w:val="auto"/>
          <w:sz w:val="32"/>
          <w:szCs w:val="32"/>
          <w:lang w:val="en-US" w:eastAsia="zh-CN"/>
        </w:rPr>
      </w:pPr>
      <w:r>
        <w:rPr>
          <w:rFonts w:hint="default" w:ascii="Nimbus Roman" w:hAnsi="Nimbus Roman" w:eastAsia="黑体" w:cs="Nimbus Roman"/>
          <w:b w:val="0"/>
          <w:bCs/>
          <w:color w:val="auto"/>
          <w:sz w:val="32"/>
          <w:szCs w:val="32"/>
        </w:rPr>
        <w:t>一、总体</w:t>
      </w:r>
      <w:r>
        <w:rPr>
          <w:rFonts w:hint="default" w:ascii="Nimbus Roman" w:hAnsi="Nimbus Roman" w:eastAsia="黑体" w:cs="Nimbus Roman"/>
          <w:b w:val="0"/>
          <w:bCs/>
          <w:color w:val="auto"/>
          <w:sz w:val="32"/>
          <w:szCs w:val="32"/>
          <w:lang w:val="en" w:eastAsia="zh-CN"/>
        </w:rPr>
        <w:t>要求</w:t>
      </w:r>
    </w:p>
    <w:p>
      <w:pPr>
        <w:keepNext w:val="0"/>
        <w:keepLines w:val="0"/>
        <w:pageBreakBefore w:val="0"/>
        <w:widowControl/>
        <w:suppressLineNumbers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Nimbus Roman" w:hAnsi="Nimbus Roman" w:eastAsia="仿宋_GB2312" w:cs="Nimbus Roman"/>
          <w:color w:val="auto"/>
          <w:sz w:val="32"/>
          <w:szCs w:val="32"/>
          <w:lang w:val="en-US" w:eastAsia="zh-CN"/>
        </w:rPr>
      </w:pPr>
      <w:r>
        <w:rPr>
          <w:rFonts w:hint="default" w:ascii="Nimbus Roman" w:hAnsi="Nimbus Roman" w:eastAsia="仿宋_GB2312" w:cs="Nimbus Roman"/>
          <w:color w:val="auto"/>
          <w:sz w:val="32"/>
          <w:szCs w:val="32"/>
          <w:lang w:val="en-US" w:eastAsia="zh-CN"/>
        </w:rPr>
        <w:t>以习近平新时代中国特色社会主义思想为指导，全面落实省委十一届十次全会、省委经济工作会议</w:t>
      </w:r>
      <w:r>
        <w:rPr>
          <w:rFonts w:hint="eastAsia" w:ascii="Nimbus Roman" w:hAnsi="Nimbus Roman" w:eastAsia="仿宋_GB2312" w:cs="Nimbus Roman"/>
          <w:color w:val="auto"/>
          <w:sz w:val="32"/>
          <w:szCs w:val="32"/>
          <w:lang w:val="en-US" w:eastAsia="zh-CN"/>
        </w:rPr>
        <w:t>和</w:t>
      </w:r>
      <w:r>
        <w:rPr>
          <w:rFonts w:hint="default" w:ascii="Nimbus Roman" w:hAnsi="Nimbus Roman" w:eastAsia="仿宋_GB2312" w:cs="Nimbus Roman"/>
          <w:color w:val="auto"/>
          <w:sz w:val="32"/>
          <w:szCs w:val="32"/>
          <w:lang w:val="en-US" w:eastAsia="zh-CN"/>
        </w:rPr>
        <w:t>市委八届十次全会、市委经济工作会议部署，聚焦</w:t>
      </w:r>
      <w:r>
        <w:rPr>
          <w:rFonts w:hint="default" w:ascii="仿宋_GB2312" w:hAnsi="仿宋_GB2312" w:eastAsia="仿宋_GB2312" w:cs="仿宋_GB2312"/>
          <w:b w:val="0"/>
          <w:bCs w:val="0"/>
          <w:color w:val="auto"/>
          <w:sz w:val="32"/>
          <w:szCs w:val="32"/>
          <w:lang w:val="en-US" w:eastAsia="zh-CN"/>
        </w:rPr>
        <w:t>市委“</w:t>
      </w:r>
      <w:r>
        <w:rPr>
          <w:rFonts w:hint="default" w:ascii="Nimbus Roman" w:hAnsi="Nimbus Roman" w:eastAsia="仿宋_GB2312" w:cs="Nimbus Roman"/>
          <w:b w:val="0"/>
          <w:bCs w:val="0"/>
          <w:color w:val="auto"/>
          <w:sz w:val="32"/>
          <w:szCs w:val="32"/>
          <w:lang w:val="en-US" w:eastAsia="zh-CN"/>
        </w:rPr>
        <w:t>3+6+N</w:t>
      </w:r>
      <w:r>
        <w:rPr>
          <w:rFonts w:hint="default" w:ascii="仿宋_GB2312" w:hAnsi="仿宋_GB2312" w:eastAsia="仿宋_GB2312" w:cs="仿宋_GB2312"/>
          <w:b w:val="0"/>
          <w:bCs w:val="0"/>
          <w:color w:val="auto"/>
          <w:sz w:val="32"/>
          <w:szCs w:val="32"/>
          <w:lang w:val="en-US" w:eastAsia="zh-CN"/>
        </w:rPr>
        <w:t>”整体</w:t>
      </w:r>
      <w:r>
        <w:rPr>
          <w:rFonts w:hint="default" w:ascii="Nimbus Roman" w:hAnsi="Nimbus Roman" w:eastAsia="仿宋_GB2312" w:cs="Nimbus Roman"/>
          <w:color w:val="auto"/>
          <w:sz w:val="32"/>
          <w:szCs w:val="32"/>
          <w:lang w:val="en-US" w:eastAsia="zh-CN"/>
        </w:rPr>
        <w:t>工作部署，坚持对标一流、改革创新、系统集成、安全有序，积极对接国际高标准经贸规则</w:t>
      </w:r>
      <w:r>
        <w:rPr>
          <w:rFonts w:hint="default" w:ascii="仿宋_GB2312" w:hAnsi="仿宋_GB2312" w:eastAsia="仿宋_GB2312" w:cs="仿宋_GB2312"/>
          <w:b w:val="0"/>
          <w:bCs w:val="0"/>
          <w:color w:val="auto"/>
          <w:sz w:val="32"/>
          <w:szCs w:val="32"/>
          <w:lang w:val="en-US" w:eastAsia="zh-CN"/>
        </w:rPr>
        <w:t>，以“五自由便利”和</w:t>
      </w:r>
      <w:r>
        <w:rPr>
          <w:rFonts w:hint="default" w:ascii="Nimbus Roman" w:hAnsi="Nimbus Roman" w:eastAsia="仿宋_GB2312" w:cs="Nimbus Roman"/>
          <w:color w:val="auto"/>
          <w:sz w:val="32"/>
          <w:szCs w:val="32"/>
          <w:lang w:val="en-US" w:eastAsia="zh-CN"/>
        </w:rPr>
        <w:t>数据安全有序流动为主攻方向，实施制度型开放深化、开放招商提质、开放平台通道提升、开放贸易创新四大行动，力争到2026年年底，我市制度型开放稳步增强，开放型经济指标显著提升，开放平台日趋完善，开放通道持续发力，开放招商成效显现，外贸主体实现突破；到2030年年底，我市开放强市建设取得明显成效，开放型经济规模质量显著提升，融入新发展格局实现更大作为，多层次开放平台更加健全，为三门峡</w:t>
      </w:r>
      <w:r>
        <w:rPr>
          <w:rFonts w:hint="default" w:ascii="仿宋_GB2312" w:hAnsi="仿宋_GB2312" w:eastAsia="仿宋_GB2312" w:cs="仿宋_GB2312"/>
          <w:b w:val="0"/>
          <w:bCs w:val="0"/>
          <w:color w:val="auto"/>
          <w:sz w:val="32"/>
          <w:szCs w:val="32"/>
          <w:lang w:val="en-US" w:eastAsia="zh-CN"/>
        </w:rPr>
        <w:t>打造“一带一路”建</w:t>
      </w:r>
      <w:r>
        <w:rPr>
          <w:rFonts w:hint="default" w:ascii="Nimbus Roman" w:hAnsi="Nimbus Roman" w:eastAsia="仿宋_GB2312" w:cs="Nimbus Roman"/>
          <w:color w:val="auto"/>
          <w:sz w:val="32"/>
          <w:szCs w:val="32"/>
          <w:lang w:val="en-US" w:eastAsia="zh-CN"/>
        </w:rPr>
        <w:t>设重要节点城市、晋陕豫黄河金三角区域中心城市、河南向西开放门户城市提供有力支撑。</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color w:val="auto"/>
          <w:sz w:val="32"/>
          <w:szCs w:val="32"/>
          <w:lang w:eastAsia="zh-CN"/>
        </w:rPr>
      </w:pPr>
      <w:r>
        <w:rPr>
          <w:rFonts w:hint="default" w:ascii="Nimbus Roman" w:hAnsi="Nimbus Roman" w:eastAsia="黑体" w:cs="Nimbus Roman"/>
          <w:b w:val="0"/>
          <w:bCs/>
          <w:color w:val="auto"/>
          <w:kern w:val="2"/>
          <w:sz w:val="32"/>
          <w:szCs w:val="32"/>
          <w:lang w:val="en-US" w:eastAsia="zh-CN" w:bidi="ar-SA"/>
        </w:rPr>
        <w:t>二、重点任务</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2" w:firstLineChars="200"/>
        <w:jc w:val="both"/>
        <w:textAlignment w:val="auto"/>
        <w:rPr>
          <w:rFonts w:hint="default" w:ascii="Nimbus Roman" w:hAnsi="Nimbus Roman" w:eastAsia="楷体" w:cs="Nimbus Roman"/>
          <w:b/>
          <w:bCs/>
          <w:color w:val="auto"/>
          <w:sz w:val="32"/>
          <w:szCs w:val="32"/>
          <w:lang w:val="en-US" w:eastAsia="zh-CN"/>
        </w:rPr>
      </w:pPr>
      <w:r>
        <w:rPr>
          <w:rFonts w:hint="default" w:ascii="Nimbus Roman" w:hAnsi="Nimbus Roman" w:eastAsia="楷体" w:cs="Nimbus Roman"/>
          <w:b/>
          <w:bCs/>
          <w:color w:val="auto"/>
          <w:sz w:val="32"/>
          <w:szCs w:val="32"/>
          <w:lang w:val="en-US" w:eastAsia="zh-CN"/>
        </w:rPr>
        <w:t>（一）实施制度型开放深化行动，构建高质量发展新格局</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华文仿宋" w:cs="Nimbus Roman"/>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1.积极融入和服务全国统一大市场建设。</w:t>
      </w:r>
      <w:r>
        <w:rPr>
          <w:rFonts w:hint="default" w:ascii="Nimbus Roman" w:hAnsi="Nimbus Roman" w:eastAsia="仿宋_GB2312" w:cs="Nimbus Roman"/>
          <w:color w:val="auto"/>
          <w:sz w:val="32"/>
          <w:szCs w:val="32"/>
          <w:lang w:val="en-US" w:eastAsia="zh-CN"/>
        </w:rPr>
        <w:t>全面落</w:t>
      </w:r>
      <w:r>
        <w:rPr>
          <w:rFonts w:hint="default" w:ascii="仿宋_GB2312" w:hAnsi="仿宋_GB2312" w:eastAsia="仿宋_GB2312" w:cs="仿宋_GB2312"/>
          <w:b w:val="0"/>
          <w:bCs w:val="0"/>
          <w:color w:val="auto"/>
          <w:sz w:val="32"/>
          <w:szCs w:val="32"/>
          <w:lang w:val="en-US" w:eastAsia="zh-CN"/>
        </w:rPr>
        <w:t>实“五统一、一开放”基本要求，</w:t>
      </w:r>
      <w:r>
        <w:rPr>
          <w:rFonts w:hint="default" w:ascii="Nimbus Roman" w:hAnsi="Nimbus Roman" w:eastAsia="仿宋_GB2312" w:cs="Nimbus Roman"/>
          <w:color w:val="auto"/>
          <w:sz w:val="32"/>
          <w:szCs w:val="32"/>
          <w:lang w:val="en-US" w:eastAsia="zh-CN"/>
        </w:rPr>
        <w:t>及时发现并推动破除各种形式的市场准入不合理限制和隐性壁垒。严格落实公平竞争审查制度。持续规范执法权限、依据和程序，保护市场主体合法权益。建立知识产权纠纷多元解决机制，推进纠纷快速调解。完善守信激励和失信惩戒机制。建立健全政府守信践诺和政务诚信监测治理机制，严格兑现依法作出的政策承诺。</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华文仿宋" w:cs="Nimbus Roman"/>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2.开展“五自由便利”制度创新攻坚。依托中国（河南）自由贸易试验区三门峡联动创新区，围绕贸易、投资、交通运输、资金流动、人员</w:t>
      </w:r>
      <w:r>
        <w:rPr>
          <w:rFonts w:hint="default" w:ascii="仿宋_GB2312" w:hAnsi="仿宋_GB2312" w:eastAsia="仿宋_GB2312" w:cs="仿宋_GB2312"/>
          <w:b w:val="0"/>
          <w:bCs w:val="0"/>
          <w:color w:val="auto"/>
          <w:sz w:val="32"/>
          <w:szCs w:val="32"/>
          <w:lang w:val="en-US" w:eastAsia="zh-CN"/>
        </w:rPr>
        <w:t>往来“五自由便利”开展</w:t>
      </w:r>
      <w:r>
        <w:rPr>
          <w:rFonts w:hint="default" w:ascii="Nimbus Roman" w:hAnsi="Nimbus Roman" w:eastAsia="仿宋_GB2312" w:cs="Nimbus Roman"/>
          <w:b w:val="0"/>
          <w:bCs w:val="0"/>
          <w:color w:val="auto"/>
          <w:sz w:val="32"/>
          <w:szCs w:val="32"/>
          <w:lang w:val="en-US" w:eastAsia="zh-CN"/>
        </w:rPr>
        <w:t>差异化探索。重点在铜精矿进口通关便利化、跨境人民币结算、外籍商务人员居留便利等方面形成</w:t>
      </w:r>
      <w:r>
        <w:rPr>
          <w:rFonts w:hint="default" w:ascii="仿宋_GB2312" w:hAnsi="仿宋_GB2312" w:eastAsia="仿宋_GB2312" w:cs="仿宋_GB2312"/>
          <w:b w:val="0"/>
          <w:bCs w:val="0"/>
          <w:color w:val="auto"/>
          <w:sz w:val="32"/>
          <w:szCs w:val="32"/>
          <w:lang w:val="en-US" w:eastAsia="zh-CN"/>
        </w:rPr>
        <w:t>一批“小切口”创</w:t>
      </w:r>
      <w:r>
        <w:rPr>
          <w:rFonts w:hint="default" w:ascii="Nimbus Roman" w:hAnsi="Nimbus Roman" w:eastAsia="仿宋_GB2312" w:cs="Nimbus Roman"/>
          <w:b w:val="0"/>
          <w:bCs w:val="0"/>
          <w:color w:val="auto"/>
          <w:sz w:val="32"/>
          <w:szCs w:val="32"/>
          <w:lang w:val="en-US" w:eastAsia="zh-CN"/>
        </w:rPr>
        <w:t>新成果，争取纳入省级制度创新案例库。</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color w:val="auto"/>
          <w:sz w:val="32"/>
          <w:szCs w:val="32"/>
          <w:lang w:eastAsia="zh-CN"/>
        </w:rPr>
      </w:pPr>
      <w:r>
        <w:rPr>
          <w:rFonts w:hint="default" w:ascii="Nimbus Roman" w:hAnsi="Nimbus Roman" w:eastAsia="仿宋_GB2312" w:cs="Nimbus Roman"/>
          <w:b w:val="0"/>
          <w:bCs w:val="0"/>
          <w:color w:val="auto"/>
          <w:sz w:val="32"/>
          <w:szCs w:val="32"/>
          <w:lang w:val="en-US" w:eastAsia="zh-CN"/>
        </w:rPr>
        <w:t>3.全面推广国际经贸规则。以加快中国（河南）自由贸易试验区三门峡联动创新区建设为基础，对标国际高标准经贸规则，复制推广国家、省自贸区改革经验，开展全省首创性集成式差异化探索，为全省开放型经济发展贡献</w:t>
      </w:r>
      <w:r>
        <w:rPr>
          <w:rFonts w:hint="default" w:ascii="仿宋_GB2312" w:hAnsi="仿宋_GB2312" w:eastAsia="仿宋_GB2312" w:cs="仿宋_GB2312"/>
          <w:b w:val="0"/>
          <w:bCs w:val="0"/>
          <w:color w:val="auto"/>
          <w:sz w:val="32"/>
          <w:szCs w:val="32"/>
          <w:lang w:val="en-US" w:eastAsia="zh-CN"/>
        </w:rPr>
        <w:t>“三门峡经验”。</w:t>
      </w:r>
      <w:r>
        <w:rPr>
          <w:rFonts w:hint="default" w:ascii="Nimbus Roman" w:hAnsi="Nimbus Roman" w:eastAsia="仿宋_GB2312" w:cs="Nimbus Roman"/>
          <w:b w:val="0"/>
          <w:bCs w:val="0"/>
          <w:color w:val="auto"/>
          <w:sz w:val="32"/>
          <w:szCs w:val="32"/>
          <w:lang w:val="en-US" w:eastAsia="zh-CN"/>
        </w:rPr>
        <w:t>聚焦苹果、食用菌等特色农产品技术性贸易措施研究评议基地申建工作，通过开展信息预警、法规研究、措施评议、风险预警、咨询服务、影响调查等工作，帮助企业有效应对国外技术性贸易壁垒，助力三门峡特色农产</w:t>
      </w:r>
      <w:r>
        <w:rPr>
          <w:rFonts w:hint="default" w:ascii="仿宋_GB2312" w:hAnsi="仿宋_GB2312" w:eastAsia="仿宋_GB2312" w:cs="仿宋_GB2312"/>
          <w:b w:val="0"/>
          <w:bCs w:val="0"/>
          <w:color w:val="auto"/>
          <w:sz w:val="32"/>
          <w:szCs w:val="32"/>
          <w:lang w:val="en-US" w:eastAsia="zh-CN"/>
        </w:rPr>
        <w:t>品“走出去”。</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华文仿宋" w:cs="Nimbus Roman"/>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4.推进投资自由化便利化。高标准落实外商投资准入前国民待遇加负面清单管理制度，积极拓宽投资领域，优化利用外资结构，引导外资更多投向先进制造业、高新技术产业、现代服务业等关键产业领域，推动外资项目签约落地，加大重点外资项目支持力度和服务保障。保护外商投资合法权益，优化外商投资环境。</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华文仿宋" w:cs="Nimbus Roman"/>
          <w:color w:val="auto"/>
          <w:kern w:val="2"/>
          <w:sz w:val="32"/>
          <w:szCs w:val="32"/>
          <w:lang w:val="en-US" w:eastAsia="zh-CN" w:bidi="ar-SA"/>
        </w:rPr>
      </w:pPr>
      <w:r>
        <w:rPr>
          <w:rFonts w:hint="default" w:ascii="Nimbus Roman" w:hAnsi="Nimbus Roman" w:eastAsia="仿宋_GB2312" w:cs="Nimbus Roman"/>
          <w:b w:val="0"/>
          <w:bCs w:val="0"/>
          <w:color w:val="auto"/>
          <w:sz w:val="32"/>
          <w:szCs w:val="32"/>
          <w:lang w:val="en-US" w:eastAsia="zh-CN"/>
        </w:rPr>
        <w:t>5.推进服务贸易自由化便利化。引进在服务贸易、服务外包领域规模大、技术新、市场占有率高的总部公司、区域公司、分公司到我市落户。加快发展服务贸易，依规招引</w:t>
      </w:r>
      <w:r>
        <w:rPr>
          <w:rFonts w:hint="default" w:ascii="Nimbus Roman" w:hAnsi="Nimbus Roman" w:eastAsia="仿宋_GB2312" w:cs="Nimbus Roman"/>
          <w:b w:val="0"/>
          <w:bCs w:val="0"/>
          <w:color w:val="auto"/>
          <w:sz w:val="32"/>
          <w:szCs w:val="32"/>
          <w:u w:val="none"/>
          <w:lang w:val="en-US" w:eastAsia="zh-CN"/>
        </w:rPr>
        <w:t>国际货运代理</w:t>
      </w:r>
      <w:r>
        <w:rPr>
          <w:rFonts w:hint="default" w:ascii="Nimbus Roman" w:hAnsi="Nimbus Roman" w:eastAsia="仿宋_GB2312" w:cs="Nimbus Roman"/>
          <w:b w:val="0"/>
          <w:bCs w:val="0"/>
          <w:color w:val="auto"/>
          <w:sz w:val="32"/>
          <w:szCs w:val="32"/>
          <w:lang w:val="en-US" w:eastAsia="zh-CN"/>
        </w:rPr>
        <w:t>企业落地。力争服务贸易稳居全省第一梯队。</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6.建设国际化市场环境。在落实国际经贸规则、规制、管理、标准等方面，加强事前事中事后监管，进一步优化通关、退税、外汇等管理方式，推进国际贸</w:t>
      </w:r>
      <w:r>
        <w:rPr>
          <w:rFonts w:hint="default" w:ascii="仿宋_GB2312" w:hAnsi="仿宋_GB2312" w:eastAsia="仿宋_GB2312" w:cs="仿宋_GB2312"/>
          <w:b w:val="0"/>
          <w:bCs w:val="0"/>
          <w:color w:val="auto"/>
          <w:sz w:val="32"/>
          <w:szCs w:val="32"/>
          <w:lang w:val="en-US" w:eastAsia="zh-CN"/>
        </w:rPr>
        <w:t>易“单一窗口”建</w:t>
      </w:r>
      <w:r>
        <w:rPr>
          <w:rFonts w:hint="default" w:ascii="Nimbus Roman" w:hAnsi="Nimbus Roman" w:eastAsia="仿宋_GB2312" w:cs="Nimbus Roman"/>
          <w:b w:val="0"/>
          <w:bCs w:val="0"/>
          <w:color w:val="auto"/>
          <w:sz w:val="32"/>
          <w:szCs w:val="32"/>
          <w:lang w:val="en-US" w:eastAsia="zh-CN"/>
        </w:rPr>
        <w:t>设和应用。落实涉外经贸法律法规，促进与国际通行经贸规则有机衔接、良性互动，全面实施外商投资法，加强产权和知识产权保护，促进企业间公平竞争。做好对重点市场相关法律法规、准入政策、市场信息等的收集发布，增加对外投资合作领域公共产品供给。</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7.提升开发区招商质量。实施开发区提档升级专项行动，加快开发区基础设施建设，优先保障省、市重点项目建设。支持城乡一体化示范区争创国家级高新技术产业开发区。深化开发区合作，推动开发区之间资源共享，优势互补，提升发展能级。完善开发区创业创新孵化机制。</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2" w:firstLineChars="200"/>
        <w:jc w:val="both"/>
        <w:textAlignment w:val="auto"/>
        <w:rPr>
          <w:rFonts w:hint="default" w:ascii="Nimbus Roman" w:hAnsi="Nimbus Roman" w:eastAsia="楷体" w:cs="Nimbus Roman"/>
          <w:b/>
          <w:bCs/>
          <w:color w:val="auto"/>
          <w:kern w:val="0"/>
          <w:sz w:val="32"/>
          <w:szCs w:val="32"/>
          <w:lang w:val="en-US" w:eastAsia="zh-CN" w:bidi="ar"/>
        </w:rPr>
      </w:pPr>
      <w:r>
        <w:rPr>
          <w:rFonts w:hint="default" w:ascii="Nimbus Roman" w:hAnsi="Nimbus Roman" w:eastAsia="楷体" w:cs="Nimbus Roman"/>
          <w:b/>
          <w:bCs/>
          <w:color w:val="auto"/>
          <w:sz w:val="32"/>
          <w:szCs w:val="32"/>
          <w:lang w:val="en-US" w:eastAsia="zh-CN"/>
        </w:rPr>
        <w:t>（二）实施开放招商提质行动，</w:t>
      </w:r>
      <w:r>
        <w:rPr>
          <w:rFonts w:hint="default" w:ascii="Nimbus Roman" w:hAnsi="Nimbus Roman" w:eastAsia="楷体" w:cs="Nimbus Roman"/>
          <w:b/>
          <w:bCs/>
          <w:color w:val="auto"/>
          <w:kern w:val="0"/>
          <w:sz w:val="32"/>
          <w:szCs w:val="32"/>
          <w:lang w:val="en-US" w:eastAsia="zh-CN" w:bidi="ar"/>
        </w:rPr>
        <w:t>打造产业发展新高地</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8.聚焦主导产业招商。</w:t>
      </w:r>
      <w:r>
        <w:rPr>
          <w:rStyle w:val="15"/>
          <w:rFonts w:ascii="仿宋_GB2312" w:hAnsi="Times New Roman" w:eastAsia="仿宋_GB2312" w:cs="仿宋_GB2312"/>
          <w:b w:val="0"/>
          <w:bCs/>
          <w:i w:val="0"/>
          <w:iCs w:val="0"/>
          <w:caps w:val="0"/>
          <w:color w:val="000000"/>
          <w:spacing w:val="0"/>
          <w:sz w:val="31"/>
          <w:szCs w:val="31"/>
        </w:rPr>
        <w:t>巩固提升优势产业。</w:t>
      </w:r>
      <w:r>
        <w:rPr>
          <w:rFonts w:hint="default" w:ascii="仿宋_GB2312" w:hAnsi="Times New Roman" w:eastAsia="仿宋_GB2312" w:cs="仿宋_GB2312"/>
          <w:i w:val="0"/>
          <w:iCs w:val="0"/>
          <w:caps w:val="0"/>
          <w:color w:val="000000"/>
          <w:spacing w:val="0"/>
          <w:sz w:val="31"/>
          <w:szCs w:val="31"/>
        </w:rPr>
        <w:t>聚焦现代黄金产业，</w:t>
      </w:r>
      <w:r>
        <w:rPr>
          <w:rFonts w:hint="default" w:ascii="仿宋_GB2312" w:hAnsi="微软雅黑" w:eastAsia="仿宋_GB2312" w:cs="仿宋_GB2312"/>
          <w:i w:val="0"/>
          <w:iCs w:val="0"/>
          <w:caps w:val="0"/>
          <w:color w:val="000000"/>
          <w:spacing w:val="0"/>
          <w:sz w:val="31"/>
          <w:szCs w:val="31"/>
        </w:rPr>
        <w:t>不断</w:t>
      </w:r>
      <w:r>
        <w:rPr>
          <w:rFonts w:hint="default" w:ascii="仿宋_GB2312" w:hAnsi="Times New Roman" w:eastAsia="仿宋_GB2312" w:cs="仿宋_GB2312"/>
          <w:i w:val="0"/>
          <w:iCs w:val="0"/>
          <w:caps w:val="0"/>
          <w:color w:val="000000"/>
          <w:spacing w:val="0"/>
          <w:sz w:val="31"/>
          <w:szCs w:val="31"/>
        </w:rPr>
        <w:t>壮大产业规模，推动黄金产业向精深加工、终端产品</w:t>
      </w:r>
      <w:r>
        <w:rPr>
          <w:rFonts w:hint="default" w:ascii="仿宋_GB2312" w:hAnsi="微软雅黑" w:eastAsia="仿宋_GB2312" w:cs="仿宋_GB2312"/>
          <w:i w:val="0"/>
          <w:iCs w:val="0"/>
          <w:caps w:val="0"/>
          <w:color w:val="000000"/>
          <w:spacing w:val="0"/>
          <w:sz w:val="31"/>
          <w:szCs w:val="31"/>
        </w:rPr>
        <w:t>迈进</w:t>
      </w:r>
      <w:r>
        <w:rPr>
          <w:rFonts w:hint="default" w:ascii="仿宋_GB2312" w:hAnsi="Times New Roman" w:eastAsia="仿宋_GB2312" w:cs="仿宋_GB2312"/>
          <w:i w:val="0"/>
          <w:iCs w:val="0"/>
          <w:caps w:val="0"/>
          <w:color w:val="000000"/>
          <w:spacing w:val="0"/>
          <w:sz w:val="31"/>
          <w:szCs w:val="31"/>
        </w:rPr>
        <w:t>。聚焦铜基材料产业，培育壮大锂电铜箔、合金</w:t>
      </w:r>
      <w:r>
        <w:rPr>
          <w:rFonts w:hint="default" w:ascii="仿宋_GB2312" w:hAnsi="微软雅黑" w:eastAsia="仿宋_GB2312" w:cs="仿宋_GB2312"/>
          <w:i w:val="0"/>
          <w:iCs w:val="0"/>
          <w:caps w:val="0"/>
          <w:color w:val="000000"/>
          <w:spacing w:val="0"/>
          <w:sz w:val="31"/>
          <w:szCs w:val="31"/>
        </w:rPr>
        <w:t>铜箔</w:t>
      </w:r>
      <w:r>
        <w:rPr>
          <w:rFonts w:hint="default" w:ascii="仿宋_GB2312" w:hAnsi="Times New Roman" w:eastAsia="仿宋_GB2312" w:cs="仿宋_GB2312"/>
          <w:i w:val="0"/>
          <w:iCs w:val="0"/>
          <w:caps w:val="0"/>
          <w:color w:val="000000"/>
          <w:spacing w:val="0"/>
          <w:sz w:val="31"/>
          <w:szCs w:val="31"/>
        </w:rPr>
        <w:t>、高频高速铜箔等中高端产品，推动产业提质升级。聚焦铝基材料产业，积极发展高端铝箔、新能源汽车用铝、航空铝材等产品，提升高端铝型材</w:t>
      </w:r>
      <w:r>
        <w:rPr>
          <w:rFonts w:hint="default" w:ascii="仿宋_GB2312" w:hAnsi="微软雅黑" w:eastAsia="仿宋_GB2312" w:cs="仿宋_GB2312"/>
          <w:i w:val="0"/>
          <w:iCs w:val="0"/>
          <w:caps w:val="0"/>
          <w:color w:val="000000"/>
          <w:spacing w:val="0"/>
          <w:sz w:val="31"/>
          <w:szCs w:val="31"/>
        </w:rPr>
        <w:t>、</w:t>
      </w:r>
      <w:r>
        <w:rPr>
          <w:rFonts w:hint="default" w:ascii="仿宋_GB2312" w:hAnsi="Times New Roman" w:eastAsia="仿宋_GB2312" w:cs="仿宋_GB2312"/>
          <w:i w:val="0"/>
          <w:iCs w:val="0"/>
          <w:caps w:val="0"/>
          <w:color w:val="000000"/>
          <w:spacing w:val="0"/>
          <w:sz w:val="31"/>
          <w:szCs w:val="31"/>
        </w:rPr>
        <w:t>铝基新材料</w:t>
      </w:r>
      <w:r>
        <w:rPr>
          <w:rFonts w:hint="default" w:ascii="仿宋_GB2312" w:hAnsi="微软雅黑" w:eastAsia="仿宋_GB2312" w:cs="仿宋_GB2312"/>
          <w:i w:val="0"/>
          <w:iCs w:val="0"/>
          <w:caps w:val="0"/>
          <w:color w:val="000000"/>
          <w:spacing w:val="0"/>
          <w:sz w:val="31"/>
          <w:szCs w:val="31"/>
        </w:rPr>
        <w:t>的</w:t>
      </w:r>
      <w:r>
        <w:rPr>
          <w:rFonts w:hint="default" w:ascii="仿宋_GB2312" w:hAnsi="Times New Roman" w:eastAsia="仿宋_GB2312" w:cs="仿宋_GB2312"/>
          <w:i w:val="0"/>
          <w:iCs w:val="0"/>
          <w:caps w:val="0"/>
          <w:color w:val="000000"/>
          <w:spacing w:val="0"/>
          <w:sz w:val="31"/>
          <w:szCs w:val="31"/>
        </w:rPr>
        <w:t>市场竞争力。聚焦煤及化工产业，加快推动煤化工产业向高端化、精细化发展；发展基础化工原料、功能性材料。聚焦电子信息产业，依托基础材料禀赋，推进前端材料向终端产品转化升级。聚焦高端装备产业，大力发展专用车、轨道交通等产品，提升关键零部件本地配套能力和整机装备水平。聚焦现代医药产业，</w:t>
      </w:r>
      <w:r>
        <w:rPr>
          <w:rFonts w:hint="default" w:ascii="仿宋_GB2312" w:hAnsi="微软雅黑" w:eastAsia="仿宋_GB2312" w:cs="仿宋_GB2312"/>
          <w:i w:val="0"/>
          <w:iCs w:val="0"/>
          <w:caps w:val="0"/>
          <w:color w:val="000000"/>
          <w:spacing w:val="0"/>
          <w:sz w:val="31"/>
          <w:szCs w:val="31"/>
        </w:rPr>
        <w:t>发展</w:t>
      </w:r>
      <w:r>
        <w:rPr>
          <w:rFonts w:hint="default" w:ascii="仿宋_GB2312" w:hAnsi="Times New Roman" w:eastAsia="仿宋_GB2312" w:cs="仿宋_GB2312"/>
          <w:i w:val="0"/>
          <w:iCs w:val="0"/>
          <w:caps w:val="0"/>
          <w:color w:val="000000"/>
          <w:spacing w:val="0"/>
          <w:sz w:val="31"/>
          <w:szCs w:val="31"/>
        </w:rPr>
        <w:t>中</w:t>
      </w:r>
      <w:r>
        <w:rPr>
          <w:rFonts w:hint="default" w:ascii="仿宋_GB2312" w:hAnsi="微软雅黑" w:eastAsia="仿宋_GB2312" w:cs="仿宋_GB2312"/>
          <w:i w:val="0"/>
          <w:iCs w:val="0"/>
          <w:caps w:val="0"/>
          <w:color w:val="000000"/>
          <w:spacing w:val="0"/>
          <w:sz w:val="31"/>
          <w:szCs w:val="31"/>
        </w:rPr>
        <w:t>草</w:t>
      </w:r>
      <w:r>
        <w:rPr>
          <w:rFonts w:hint="default" w:ascii="仿宋_GB2312" w:hAnsi="Times New Roman" w:eastAsia="仿宋_GB2312" w:cs="仿宋_GB2312"/>
          <w:i w:val="0"/>
          <w:iCs w:val="0"/>
          <w:caps w:val="0"/>
          <w:color w:val="000000"/>
          <w:spacing w:val="0"/>
          <w:sz w:val="31"/>
          <w:szCs w:val="31"/>
        </w:rPr>
        <w:t>药、原料药、化学药终端产品，推动医药</w:t>
      </w:r>
      <w:r>
        <w:rPr>
          <w:rFonts w:hint="default" w:ascii="仿宋_GB2312" w:hAnsi="微软雅黑" w:eastAsia="仿宋_GB2312" w:cs="仿宋_GB2312"/>
          <w:i w:val="0"/>
          <w:iCs w:val="0"/>
          <w:caps w:val="0"/>
          <w:color w:val="000000"/>
          <w:spacing w:val="0"/>
          <w:sz w:val="31"/>
          <w:szCs w:val="31"/>
        </w:rPr>
        <w:t>产业延长链条、做大规模、做强品牌</w:t>
      </w:r>
      <w:r>
        <w:rPr>
          <w:rStyle w:val="15"/>
          <w:rFonts w:hint="default" w:ascii="仿宋_GB2312" w:hAnsi="Times New Roman" w:eastAsia="仿宋_GB2312" w:cs="仿宋_GB2312"/>
          <w:b w:val="0"/>
          <w:bCs/>
          <w:i w:val="0"/>
          <w:iCs w:val="0"/>
          <w:caps w:val="0"/>
          <w:color w:val="000000"/>
          <w:spacing w:val="0"/>
          <w:sz w:val="31"/>
          <w:szCs w:val="31"/>
        </w:rPr>
        <w:t>。做优做强特色产业。</w:t>
      </w:r>
      <w:r>
        <w:rPr>
          <w:rFonts w:hint="default" w:ascii="仿宋_GB2312" w:hAnsi="Times New Roman" w:eastAsia="仿宋_GB2312" w:cs="仿宋_GB2312"/>
          <w:i w:val="0"/>
          <w:iCs w:val="0"/>
          <w:caps w:val="0"/>
          <w:color w:val="000000"/>
          <w:spacing w:val="0"/>
          <w:sz w:val="31"/>
          <w:szCs w:val="31"/>
        </w:rPr>
        <w:t>聚焦关键金属材料产业，大力发展镓基、锗基、钼基、锂基等新材料，加快培育新材料产业新质生产力。聚焦矿物新材料产业，</w:t>
      </w:r>
      <w:r>
        <w:rPr>
          <w:rFonts w:hint="default" w:ascii="仿宋_GB2312" w:hAnsi="微软雅黑" w:eastAsia="仿宋_GB2312" w:cs="仿宋_GB2312"/>
          <w:i w:val="0"/>
          <w:iCs w:val="0"/>
          <w:caps w:val="0"/>
          <w:color w:val="000000"/>
          <w:spacing w:val="0"/>
          <w:sz w:val="31"/>
          <w:szCs w:val="31"/>
        </w:rPr>
        <w:t>逐步</w:t>
      </w:r>
      <w:r>
        <w:rPr>
          <w:rFonts w:hint="default" w:ascii="仿宋_GB2312" w:hAnsi="Times New Roman" w:eastAsia="仿宋_GB2312" w:cs="仿宋_GB2312"/>
          <w:i w:val="0"/>
          <w:iCs w:val="0"/>
          <w:caps w:val="0"/>
          <w:color w:val="000000"/>
          <w:spacing w:val="0"/>
          <w:sz w:val="31"/>
          <w:szCs w:val="31"/>
        </w:rPr>
        <w:t>构建</w:t>
      </w:r>
      <w:r>
        <w:rPr>
          <w:rFonts w:hint="default" w:ascii="Times New Roman" w:hAnsi="Times New Roman" w:eastAsia="微软雅黑" w:cs="Times New Roman"/>
          <w:i w:val="0"/>
          <w:iCs w:val="0"/>
          <w:caps w:val="0"/>
          <w:color w:val="000000"/>
          <w:spacing w:val="0"/>
          <w:sz w:val="31"/>
          <w:szCs w:val="31"/>
        </w:rPr>
        <w:t>“</w:t>
      </w:r>
      <w:r>
        <w:rPr>
          <w:rFonts w:hint="default" w:ascii="仿宋_GB2312" w:hAnsi="Times New Roman" w:eastAsia="仿宋_GB2312" w:cs="仿宋_GB2312"/>
          <w:i w:val="0"/>
          <w:iCs w:val="0"/>
          <w:caps w:val="0"/>
          <w:color w:val="000000"/>
          <w:spacing w:val="0"/>
          <w:sz w:val="31"/>
          <w:szCs w:val="31"/>
        </w:rPr>
        <w:t>矿</w:t>
      </w:r>
      <w:r>
        <w:rPr>
          <w:rFonts w:hint="default" w:ascii="Times New Roman" w:hAnsi="Times New Roman" w:eastAsia="微软雅黑" w:cs="Times New Roman"/>
          <w:i w:val="0"/>
          <w:iCs w:val="0"/>
          <w:caps w:val="0"/>
          <w:color w:val="000000"/>
          <w:spacing w:val="0"/>
          <w:sz w:val="31"/>
          <w:szCs w:val="31"/>
        </w:rPr>
        <w:t>—</w:t>
      </w:r>
      <w:r>
        <w:rPr>
          <w:rFonts w:hint="default" w:ascii="仿宋_GB2312" w:hAnsi="Times New Roman" w:eastAsia="仿宋_GB2312" w:cs="仿宋_GB2312"/>
          <w:i w:val="0"/>
          <w:iCs w:val="0"/>
          <w:caps w:val="0"/>
          <w:color w:val="000000"/>
          <w:spacing w:val="0"/>
          <w:sz w:val="31"/>
          <w:szCs w:val="31"/>
        </w:rPr>
        <w:t>砂</w:t>
      </w:r>
      <w:r>
        <w:rPr>
          <w:rFonts w:hint="default" w:ascii="Times New Roman" w:hAnsi="Times New Roman" w:eastAsia="微软雅黑" w:cs="Times New Roman"/>
          <w:i w:val="0"/>
          <w:iCs w:val="0"/>
          <w:caps w:val="0"/>
          <w:color w:val="000000"/>
          <w:spacing w:val="0"/>
          <w:sz w:val="31"/>
          <w:szCs w:val="31"/>
        </w:rPr>
        <w:t>—</w:t>
      </w:r>
      <w:r>
        <w:rPr>
          <w:rFonts w:hint="default" w:ascii="仿宋_GB2312" w:hAnsi="Times New Roman" w:eastAsia="仿宋_GB2312" w:cs="仿宋_GB2312"/>
          <w:i w:val="0"/>
          <w:iCs w:val="0"/>
          <w:caps w:val="0"/>
          <w:color w:val="000000"/>
          <w:spacing w:val="0"/>
          <w:sz w:val="31"/>
          <w:szCs w:val="31"/>
        </w:rPr>
        <w:t>材料</w:t>
      </w:r>
      <w:r>
        <w:rPr>
          <w:rFonts w:hint="default" w:ascii="Times New Roman" w:hAnsi="Times New Roman" w:eastAsia="微软雅黑" w:cs="Times New Roman"/>
          <w:i w:val="0"/>
          <w:iCs w:val="0"/>
          <w:caps w:val="0"/>
          <w:color w:val="000000"/>
          <w:spacing w:val="0"/>
          <w:sz w:val="31"/>
          <w:szCs w:val="31"/>
        </w:rPr>
        <w:t>—</w:t>
      </w:r>
      <w:r>
        <w:rPr>
          <w:rFonts w:hint="default" w:ascii="仿宋_GB2312" w:hAnsi="Times New Roman" w:eastAsia="仿宋_GB2312" w:cs="仿宋_GB2312"/>
          <w:i w:val="0"/>
          <w:iCs w:val="0"/>
          <w:caps w:val="0"/>
          <w:color w:val="000000"/>
          <w:spacing w:val="0"/>
          <w:sz w:val="31"/>
          <w:szCs w:val="31"/>
        </w:rPr>
        <w:t>器件</w:t>
      </w:r>
      <w:r>
        <w:rPr>
          <w:rFonts w:hint="default" w:ascii="Times New Roman" w:hAnsi="Times New Roman" w:eastAsia="微软雅黑" w:cs="Times New Roman"/>
          <w:i w:val="0"/>
          <w:iCs w:val="0"/>
          <w:caps w:val="0"/>
          <w:color w:val="000000"/>
          <w:spacing w:val="0"/>
          <w:sz w:val="31"/>
          <w:szCs w:val="31"/>
        </w:rPr>
        <w:t>”</w:t>
      </w:r>
      <w:r>
        <w:rPr>
          <w:rFonts w:hint="default" w:ascii="仿宋_GB2312" w:hAnsi="Times New Roman" w:eastAsia="仿宋_GB2312" w:cs="仿宋_GB2312"/>
          <w:i w:val="0"/>
          <w:iCs w:val="0"/>
          <w:caps w:val="0"/>
          <w:color w:val="000000"/>
          <w:spacing w:val="0"/>
          <w:sz w:val="31"/>
          <w:szCs w:val="31"/>
        </w:rPr>
        <w:t>一体化全产业链，推动产业向高端化、集群化发展。聚焦新能源产业，推动“风光水火储</w:t>
      </w:r>
      <w:r>
        <w:rPr>
          <w:rFonts w:hint="default" w:ascii="Times New Roman" w:hAnsi="Times New Roman" w:eastAsia="微软雅黑" w:cs="Times New Roman"/>
          <w:i w:val="0"/>
          <w:iCs w:val="0"/>
          <w:caps w:val="0"/>
          <w:color w:val="000000"/>
          <w:spacing w:val="0"/>
          <w:sz w:val="31"/>
          <w:szCs w:val="31"/>
        </w:rPr>
        <w:t>”</w:t>
      </w:r>
      <w:r>
        <w:rPr>
          <w:rFonts w:hint="default" w:ascii="仿宋_GB2312" w:hAnsi="Times New Roman" w:eastAsia="仿宋_GB2312" w:cs="仿宋_GB2312"/>
          <w:i w:val="0"/>
          <w:iCs w:val="0"/>
          <w:caps w:val="0"/>
          <w:color w:val="000000"/>
          <w:spacing w:val="0"/>
          <w:sz w:val="31"/>
          <w:szCs w:val="31"/>
        </w:rPr>
        <w:t>多能互</w:t>
      </w:r>
      <w:r>
        <w:rPr>
          <w:rFonts w:hint="default" w:ascii="仿宋_GB2312" w:hAnsi="微软雅黑" w:eastAsia="仿宋_GB2312" w:cs="仿宋_GB2312"/>
          <w:i w:val="0"/>
          <w:iCs w:val="0"/>
          <w:caps w:val="0"/>
          <w:color w:val="000000"/>
          <w:spacing w:val="0"/>
          <w:sz w:val="31"/>
          <w:szCs w:val="31"/>
        </w:rPr>
        <w:t>补产业规模化发展</w:t>
      </w:r>
      <w:r>
        <w:rPr>
          <w:rFonts w:hint="default" w:ascii="仿宋_GB2312" w:hAnsi="Times New Roman" w:eastAsia="仿宋_GB2312" w:cs="仿宋_GB2312"/>
          <w:i w:val="0"/>
          <w:iCs w:val="0"/>
          <w:caps w:val="0"/>
          <w:color w:val="000000"/>
          <w:spacing w:val="0"/>
          <w:sz w:val="31"/>
          <w:szCs w:val="31"/>
        </w:rPr>
        <w:t>。聚焦石油产业，深入推进勘探开发，加快布局石油装备、运储及配套服务等产业。同时，积极引进无人机、直升机智驾试飞项目，抢占未来产业发展先机。</w:t>
      </w:r>
      <w:r>
        <w:rPr>
          <w:rFonts w:hint="default" w:ascii="Nimbus Roman" w:hAnsi="Nimbus Roman" w:eastAsia="仿宋_GB2312" w:cs="Nimbus Roman"/>
          <w:b w:val="0"/>
          <w:bCs w:val="0"/>
          <w:color w:val="auto"/>
          <w:sz w:val="32"/>
          <w:szCs w:val="32"/>
          <w:lang w:val="en-US" w:eastAsia="zh-CN"/>
        </w:rPr>
        <w:t>加强与京津冀、长三角、粤港澳大湾区等国家高质量发展动力源地区的联动，主动承接产业转移。</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9.实施重点产业项目推进计划。实施</w:t>
      </w:r>
      <w:r>
        <w:rPr>
          <w:rFonts w:hint="eastAsia" w:ascii="Nimbus Roman" w:hAnsi="Nimbus Roman" w:eastAsia="仿宋_GB2312" w:cs="Nimbus Roman"/>
          <w:b w:val="0"/>
          <w:bCs w:val="0"/>
          <w:color w:val="auto"/>
          <w:sz w:val="32"/>
          <w:szCs w:val="32"/>
          <w:lang w:val="en-US" w:eastAsia="zh-CN"/>
        </w:rPr>
        <w:t>现代</w:t>
      </w:r>
      <w:r>
        <w:rPr>
          <w:rFonts w:hint="default" w:ascii="Nimbus Roman" w:hAnsi="Nimbus Roman" w:eastAsia="仿宋_GB2312" w:cs="Nimbus Roman"/>
          <w:b w:val="0"/>
          <w:bCs w:val="0"/>
          <w:color w:val="auto"/>
          <w:sz w:val="32"/>
          <w:szCs w:val="32"/>
          <w:lang w:val="en-US" w:eastAsia="zh-CN"/>
        </w:rPr>
        <w:t>黄金、铝基新材料、铜基新材料、高端装备制造等主导产业招商计划，以谋划项目、在谈项</w:t>
      </w:r>
      <w:r>
        <w:rPr>
          <w:rFonts w:hint="default" w:ascii="仿宋_GB2312" w:hAnsi="仿宋_GB2312" w:eastAsia="仿宋_GB2312" w:cs="仿宋_GB2312"/>
          <w:b w:val="0"/>
          <w:bCs w:val="0"/>
          <w:color w:val="auto"/>
          <w:sz w:val="32"/>
          <w:szCs w:val="32"/>
          <w:lang w:val="en-US" w:eastAsia="zh-CN"/>
        </w:rPr>
        <w:t>目“两个清单”为</w:t>
      </w:r>
      <w:r>
        <w:rPr>
          <w:rFonts w:hint="default" w:ascii="Nimbus Roman" w:hAnsi="Nimbus Roman" w:eastAsia="仿宋_GB2312" w:cs="Nimbus Roman"/>
          <w:b w:val="0"/>
          <w:bCs w:val="0"/>
          <w:color w:val="auto"/>
          <w:sz w:val="32"/>
          <w:szCs w:val="32"/>
          <w:lang w:val="en-US" w:eastAsia="zh-CN"/>
        </w:rPr>
        <w:t>抓手，逐集群细化产业链招商全景图，通过链式招商、资本招商、科创招商、场景招商等形式签约引进一批项目。梳理我市头部企业和目标招引企业清单，组织开展专题对接活动，吸引知名企业和上下游关键节点项目到三门峡投资。促进外资境内再投资，重点对接留存利润的外资企业，了解投资动向，加强沟通服务，争取一批再投资项目。每年通过商务部、中国贸促等国家平台对外发布谋划招商项目500个以上。</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10.提高开放招商实效。围绕我市主导产业和战略性新兴产业，紧盯关联度高的央企国企、国内外500强、行业龙头企业，开展重点项目招商活动。组织企业参加进博会、中博会、亚欧博览会、广交会以及河南省投洽会等重大经贸活动，举办黄河文化旅游节，持续打</w:t>
      </w:r>
      <w:r>
        <w:rPr>
          <w:rFonts w:hint="default" w:ascii="仿宋_GB2312" w:hAnsi="仿宋_GB2312" w:eastAsia="仿宋_GB2312" w:cs="仿宋_GB2312"/>
          <w:b w:val="0"/>
          <w:bCs w:val="0"/>
          <w:color w:val="auto"/>
          <w:sz w:val="32"/>
          <w:szCs w:val="32"/>
          <w:lang w:val="en-US" w:eastAsia="zh-CN"/>
        </w:rPr>
        <w:t>造“投资河南·优选三门峡”招商</w:t>
      </w:r>
      <w:r>
        <w:rPr>
          <w:rFonts w:hint="default" w:ascii="Nimbus Roman" w:hAnsi="Nimbus Roman" w:eastAsia="仿宋_GB2312" w:cs="Nimbus Roman"/>
          <w:b w:val="0"/>
          <w:bCs w:val="0"/>
          <w:color w:val="auto"/>
          <w:sz w:val="32"/>
          <w:szCs w:val="32"/>
          <w:lang w:val="en-US" w:eastAsia="zh-CN"/>
        </w:rPr>
        <w:t>品牌，提升招商吸引力和影响力。通过上下游贸易合作进行重点招商，签约和落地一批重大对外合作项目。围</w:t>
      </w:r>
      <w:r>
        <w:rPr>
          <w:rFonts w:hint="default" w:ascii="仿宋_GB2312" w:hAnsi="仿宋_GB2312" w:eastAsia="仿宋_GB2312" w:cs="仿宋_GB2312"/>
          <w:b w:val="0"/>
          <w:bCs w:val="0"/>
          <w:color w:val="auto"/>
          <w:sz w:val="32"/>
          <w:szCs w:val="32"/>
          <w:lang w:val="en-US" w:eastAsia="zh-CN"/>
        </w:rPr>
        <w:t>绕“飞地经济”培</w:t>
      </w:r>
      <w:r>
        <w:rPr>
          <w:rFonts w:hint="default" w:ascii="Nimbus Roman" w:hAnsi="Nimbus Roman" w:eastAsia="仿宋_GB2312" w:cs="Nimbus Roman"/>
          <w:b w:val="0"/>
          <w:bCs w:val="0"/>
          <w:color w:val="auto"/>
          <w:sz w:val="32"/>
          <w:szCs w:val="32"/>
          <w:lang w:val="en-US" w:eastAsia="zh-CN"/>
        </w:rPr>
        <w:t>育，加强与北京、上海、郑州、西安等国家中心城市的协同联动，通过产业、科创、人才等要素的双向流动与高效整合，探索构建产业和科创</w:t>
      </w:r>
      <w:r>
        <w:rPr>
          <w:rFonts w:hint="default" w:ascii="仿宋_GB2312" w:hAnsi="仿宋_GB2312" w:eastAsia="仿宋_GB2312" w:cs="仿宋_GB2312"/>
          <w:b w:val="0"/>
          <w:bCs w:val="0"/>
          <w:color w:val="auto"/>
          <w:sz w:val="32"/>
          <w:szCs w:val="32"/>
          <w:lang w:val="en-US" w:eastAsia="zh-CN"/>
        </w:rPr>
        <w:t>“双向飞地”“人才飞地”等</w:t>
      </w:r>
      <w:r>
        <w:rPr>
          <w:rFonts w:hint="default" w:ascii="Nimbus Roman" w:hAnsi="Nimbus Roman" w:eastAsia="仿宋_GB2312" w:cs="Nimbus Roman"/>
          <w:b w:val="0"/>
          <w:bCs w:val="0"/>
          <w:color w:val="auto"/>
          <w:sz w:val="32"/>
          <w:szCs w:val="32"/>
          <w:lang w:val="en-US" w:eastAsia="zh-CN"/>
        </w:rPr>
        <w:t>新型合作模式。建立健全招商引资项目首报首谈制度，构建专业化、市场化、国际化的招商引资新格局。</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2" w:firstLineChars="200"/>
        <w:jc w:val="both"/>
        <w:textAlignment w:val="auto"/>
        <w:rPr>
          <w:rFonts w:hint="default" w:ascii="Nimbus Roman" w:hAnsi="Nimbus Roman" w:eastAsia="楷体" w:cs="Nimbus Roman"/>
          <w:b/>
          <w:bCs/>
          <w:color w:val="auto"/>
          <w:sz w:val="32"/>
          <w:szCs w:val="32"/>
          <w:lang w:val="en-US" w:eastAsia="zh-CN"/>
        </w:rPr>
      </w:pPr>
      <w:r>
        <w:rPr>
          <w:rFonts w:hint="default" w:ascii="Nimbus Roman" w:hAnsi="Nimbus Roman" w:eastAsia="楷体" w:cs="Nimbus Roman"/>
          <w:b/>
          <w:bCs/>
          <w:color w:val="auto"/>
          <w:sz w:val="32"/>
          <w:szCs w:val="32"/>
          <w:lang w:val="en-US" w:eastAsia="zh-CN"/>
        </w:rPr>
        <w:t>（三）实施开放平台通道提升行动，激发内联外畅新活力</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11.加快开放平台建设。高效推进三门峡保税物流中心（B型）建设运营，指导卢氏县做好莘东出口配送型出口监管仓运营工作。用好进口铁路运输铜精矿监管通关模式试点平台，推动更多大宗商品实现落地检。力争河南国合三门峡进口铝土矿储运基地项目落地，不断提升对外开放综合能力。</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12.打造内陆开放口岸。发挥区位优势，积极参与共</w:t>
      </w:r>
      <w:r>
        <w:rPr>
          <w:rFonts w:hint="default" w:ascii="仿宋_GB2312" w:hAnsi="仿宋_GB2312" w:eastAsia="仿宋_GB2312" w:cs="仿宋_GB2312"/>
          <w:b w:val="0"/>
          <w:bCs w:val="0"/>
          <w:color w:val="auto"/>
          <w:sz w:val="32"/>
          <w:szCs w:val="32"/>
          <w:lang w:val="en-US" w:eastAsia="zh-CN"/>
        </w:rPr>
        <w:t>建“一带一路”，</w:t>
      </w:r>
      <w:r>
        <w:rPr>
          <w:rFonts w:hint="default" w:ascii="Nimbus Roman" w:hAnsi="Nimbus Roman" w:eastAsia="仿宋_GB2312" w:cs="Nimbus Roman"/>
          <w:b w:val="0"/>
          <w:bCs w:val="0"/>
          <w:color w:val="auto"/>
          <w:sz w:val="32"/>
          <w:szCs w:val="32"/>
          <w:lang w:val="en-US" w:eastAsia="zh-CN"/>
        </w:rPr>
        <w:t>深度融入全省</w:t>
      </w:r>
      <w:r>
        <w:rPr>
          <w:rFonts w:hint="eastAsia" w:ascii="仿宋_GB2312" w:hAnsi="仿宋_GB2312" w:eastAsia="仿宋_GB2312" w:cs="仿宋_GB2312"/>
          <w:b w:val="0"/>
          <w:bCs w:val="0"/>
          <w:color w:val="auto"/>
          <w:sz w:val="32"/>
          <w:szCs w:val="32"/>
          <w:lang w:val="en-US" w:eastAsia="zh-CN"/>
        </w:rPr>
        <w:t>“空陆数海”</w:t>
      </w:r>
      <w:r>
        <w:rPr>
          <w:rFonts w:hint="default" w:ascii="Nimbus Roman" w:hAnsi="Nimbus Roman" w:eastAsia="仿宋_GB2312" w:cs="Nimbus Roman"/>
          <w:b w:val="0"/>
          <w:bCs w:val="0"/>
          <w:color w:val="auto"/>
          <w:sz w:val="32"/>
          <w:szCs w:val="32"/>
          <w:lang w:val="en-US" w:eastAsia="zh-CN"/>
        </w:rPr>
        <w:t>丝绸之路建设。推动大宗货物“公转铁”，提升“五定”班列运行效率，加强与连云港、青岛港、洋口港等沿海港口合作，打通陆海联运国际物流多式联运通道，逐步建立三门峡内陆港口生态圈，打造</w:t>
      </w:r>
      <w:r>
        <w:rPr>
          <w:rFonts w:hint="eastAsia" w:ascii="仿宋_GB2312" w:hAnsi="仿宋_GB2312" w:eastAsia="仿宋_GB2312" w:cs="仿宋_GB2312"/>
          <w:b w:val="0"/>
          <w:bCs w:val="0"/>
          <w:color w:val="auto"/>
          <w:sz w:val="32"/>
          <w:szCs w:val="32"/>
          <w:lang w:val="en-US" w:eastAsia="zh-CN"/>
        </w:rPr>
        <w:t>“无水口岸”。</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13.畅通陆路运输通道。加速建设三门峡铁路综合枢纽物流园及铁路专用线、义马北露天煤炭储备基地专用铁路改扩建工程、灵宝市豫灵产业园铁路专用线、陕州区庙沟铁路专用线资产盘活等项目。推动实施运三高铁等项目，推进浩吉铁路与陇海铁路互联互通前期研究。重启浩吉铁路陕州站建设，依托浩吉铁路灵宝东站规划建设综合物流园，拓展</w:t>
      </w:r>
      <w:r>
        <w:rPr>
          <w:rFonts w:hint="default" w:ascii="仿宋_GB2312" w:hAnsi="仿宋_GB2312" w:eastAsia="仿宋_GB2312" w:cs="仿宋_GB2312"/>
          <w:b w:val="0"/>
          <w:bCs w:val="0"/>
          <w:color w:val="auto"/>
          <w:sz w:val="32"/>
          <w:szCs w:val="32"/>
          <w:lang w:val="en-US" w:eastAsia="zh-CN"/>
        </w:rPr>
        <w:t>“水铁联运新通道”等</w:t>
      </w:r>
      <w:r>
        <w:rPr>
          <w:rFonts w:hint="default" w:ascii="Nimbus Roman" w:hAnsi="Nimbus Roman" w:eastAsia="仿宋_GB2312" w:cs="Nimbus Roman"/>
          <w:b w:val="0"/>
          <w:bCs w:val="0"/>
          <w:color w:val="auto"/>
          <w:sz w:val="32"/>
          <w:szCs w:val="32"/>
          <w:lang w:val="en-US" w:eastAsia="zh-CN"/>
        </w:rPr>
        <w:t>多式联运业务。积极谋划黄河水运通航，培育多式联运和低空经济新业态</w:t>
      </w:r>
      <w:r>
        <w:rPr>
          <w:rFonts w:hint="default" w:ascii="仿宋_GB2312" w:hAnsi="仿宋_GB2312" w:eastAsia="仿宋_GB2312" w:cs="仿宋_GB2312"/>
          <w:b w:val="0"/>
          <w:bCs w:val="0"/>
          <w:color w:val="auto"/>
          <w:sz w:val="32"/>
          <w:szCs w:val="32"/>
          <w:lang w:val="en-US" w:eastAsia="zh-CN"/>
        </w:rPr>
        <w:t>。推动“物流+产业”深</w:t>
      </w:r>
      <w:r>
        <w:rPr>
          <w:rFonts w:hint="default" w:ascii="Nimbus Roman" w:hAnsi="Nimbus Roman" w:eastAsia="仿宋_GB2312" w:cs="Nimbus Roman"/>
          <w:b w:val="0"/>
          <w:bCs w:val="0"/>
          <w:color w:val="auto"/>
          <w:sz w:val="32"/>
          <w:szCs w:val="32"/>
          <w:lang w:val="en-US" w:eastAsia="zh-CN"/>
        </w:rPr>
        <w:t>度融合，将区位优势转化为发展优势。</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2" w:firstLineChars="200"/>
        <w:jc w:val="both"/>
        <w:textAlignment w:val="auto"/>
        <w:rPr>
          <w:rFonts w:hint="default" w:ascii="Nimbus Roman" w:hAnsi="Nimbus Roman" w:eastAsia="楷体" w:cs="Nimbus Roman"/>
          <w:b/>
          <w:bCs/>
          <w:color w:val="auto"/>
          <w:sz w:val="32"/>
          <w:szCs w:val="32"/>
          <w:lang w:val="en-US" w:eastAsia="zh-CN"/>
        </w:rPr>
      </w:pPr>
      <w:r>
        <w:rPr>
          <w:rFonts w:hint="default" w:ascii="Nimbus Roman" w:hAnsi="Nimbus Roman" w:eastAsia="楷体" w:cs="Nimbus Roman"/>
          <w:b/>
          <w:bCs/>
          <w:color w:val="auto"/>
          <w:sz w:val="32"/>
          <w:szCs w:val="32"/>
          <w:lang w:val="en-US" w:eastAsia="zh-CN"/>
        </w:rPr>
        <w:t>（四）实施开放贸易创新行动，培育竞争新优势</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14.壮大外贸主体。实施外贸固本强基主体培育行动，</w:t>
      </w:r>
      <w:r>
        <w:rPr>
          <w:rFonts w:hint="default" w:ascii="仿宋_GB2312" w:hAnsi="仿宋_GB2312" w:eastAsia="仿宋_GB2312" w:cs="仿宋_GB2312"/>
          <w:b w:val="0"/>
          <w:bCs w:val="0"/>
          <w:color w:val="auto"/>
          <w:sz w:val="32"/>
          <w:szCs w:val="32"/>
          <w:lang w:val="en-US" w:eastAsia="zh-CN"/>
        </w:rPr>
        <w:t>从“大、小、新”</w:t>
      </w:r>
      <w:r>
        <w:rPr>
          <w:rFonts w:hint="default" w:ascii="Nimbus Roman" w:hAnsi="Nimbus Roman" w:eastAsia="仿宋_GB2312" w:cs="Nimbus Roman"/>
          <w:b w:val="0"/>
          <w:bCs w:val="0"/>
          <w:color w:val="auto"/>
          <w:sz w:val="32"/>
          <w:szCs w:val="32"/>
          <w:lang w:val="en-US" w:eastAsia="zh-CN"/>
        </w:rPr>
        <w:t>三方面发力，实施重点企业“一企一策”跟踪服务，稳住外贸基本盘；对中小微外贸企业建立多项联动促进机制，支持做大做强；持续招引培育外向型企业，加大外贸主体培育力度，</w:t>
      </w:r>
      <w:r>
        <w:rPr>
          <w:rFonts w:hint="eastAsia" w:ascii="Nimbus Roman" w:hAnsi="Nimbus Roman" w:eastAsia="仿宋_GB2312" w:cs="Nimbus Roman"/>
          <w:b w:val="0"/>
          <w:bCs w:val="0"/>
          <w:color w:val="auto"/>
          <w:sz w:val="32"/>
          <w:szCs w:val="32"/>
          <w:lang w:val="en-US" w:eastAsia="zh-CN"/>
        </w:rPr>
        <w:t>支持</w:t>
      </w:r>
      <w:r>
        <w:rPr>
          <w:rFonts w:hint="eastAsia" w:ascii="Nimbus Roman" w:hAnsi="Nimbus Roman" w:eastAsia="仿宋_GB2312" w:cs="Nimbus Roman"/>
          <w:b w:val="0"/>
          <w:bCs w:val="0"/>
          <w:color w:val="auto"/>
          <w:sz w:val="32"/>
          <w:szCs w:val="32"/>
          <w:u w:val="none"/>
          <w:lang w:val="en-US" w:eastAsia="zh-CN"/>
        </w:rPr>
        <w:t>外贸进出口企业</w:t>
      </w:r>
      <w:r>
        <w:rPr>
          <w:rFonts w:hint="default" w:ascii="Nimbus Roman" w:hAnsi="Nimbus Roman" w:eastAsia="仿宋_GB2312" w:cs="Nimbus Roman"/>
          <w:b w:val="0"/>
          <w:bCs w:val="0"/>
          <w:color w:val="auto"/>
          <w:sz w:val="32"/>
          <w:szCs w:val="32"/>
          <w:u w:val="none"/>
          <w:lang w:val="en-US" w:eastAsia="zh-CN"/>
        </w:rPr>
        <w:t>构建网上贸易通道。</w:t>
      </w:r>
      <w:r>
        <w:rPr>
          <w:rFonts w:hint="eastAsia" w:ascii="Nimbus Roman" w:hAnsi="Nimbus Roman" w:eastAsia="仿宋_GB2312" w:cs="Nimbus Roman"/>
          <w:b w:val="0"/>
          <w:bCs w:val="0"/>
          <w:color w:val="auto"/>
          <w:sz w:val="32"/>
          <w:szCs w:val="32"/>
          <w:lang w:val="en-US" w:eastAsia="zh-CN"/>
        </w:rPr>
        <w:t>鼓励外贸</w:t>
      </w:r>
      <w:r>
        <w:rPr>
          <w:rFonts w:hint="default" w:ascii="Nimbus Roman" w:hAnsi="Nimbus Roman" w:eastAsia="仿宋_GB2312" w:cs="Nimbus Roman"/>
          <w:b w:val="0"/>
          <w:bCs w:val="0"/>
          <w:color w:val="auto"/>
          <w:sz w:val="32"/>
          <w:szCs w:val="32"/>
          <w:lang w:val="en-US" w:eastAsia="zh-CN"/>
        </w:rPr>
        <w:t>企业</w:t>
      </w:r>
      <w:r>
        <w:rPr>
          <w:rFonts w:hint="eastAsia" w:ascii="Nimbus Roman" w:hAnsi="Nimbus Roman" w:eastAsia="仿宋_GB2312" w:cs="Nimbus Roman"/>
          <w:b w:val="0"/>
          <w:bCs w:val="0"/>
          <w:color w:val="auto"/>
          <w:sz w:val="32"/>
          <w:szCs w:val="32"/>
          <w:lang w:val="en-US" w:eastAsia="zh-CN"/>
        </w:rPr>
        <w:t>开展</w:t>
      </w:r>
      <w:r>
        <w:rPr>
          <w:rFonts w:hint="default" w:ascii="Nimbus Roman" w:hAnsi="Nimbus Roman" w:eastAsia="仿宋_GB2312" w:cs="Nimbus Roman"/>
          <w:b w:val="0"/>
          <w:bCs w:val="0"/>
          <w:color w:val="auto"/>
          <w:sz w:val="32"/>
          <w:szCs w:val="32"/>
          <w:lang w:val="en-US" w:eastAsia="zh-CN"/>
        </w:rPr>
        <w:t>加工贸易</w:t>
      </w:r>
      <w:r>
        <w:rPr>
          <w:rFonts w:hint="eastAsia" w:ascii="Nimbus Roman" w:hAnsi="Nimbus Roman" w:eastAsia="仿宋_GB2312" w:cs="Nimbus Roman"/>
          <w:b w:val="0"/>
          <w:bCs w:val="0"/>
          <w:color w:val="auto"/>
          <w:sz w:val="32"/>
          <w:szCs w:val="32"/>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strike/>
          <w:dstrike w:val="0"/>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15.加强市场开拓。实施“千企百展”拓市场行动，每年组织100家以上企业参加进博会、广交会、东盟博览会等境内外重点展会。巩固欧美、日韩等传统市场，大力开拓东盟、中东、拉美、非洲等新兴市场。引导</w:t>
      </w:r>
      <w:r>
        <w:rPr>
          <w:rFonts w:hint="eastAsia" w:ascii="Nimbus Roman" w:hAnsi="Nimbus Roman" w:eastAsia="仿宋_GB2312" w:cs="Nimbus Roman"/>
          <w:b w:val="0"/>
          <w:bCs w:val="0"/>
          <w:color w:val="auto"/>
          <w:sz w:val="32"/>
          <w:szCs w:val="32"/>
          <w:u w:val="none"/>
          <w:lang w:val="en-US" w:eastAsia="zh-CN"/>
        </w:rPr>
        <w:t>外经贸企业</w:t>
      </w:r>
      <w:r>
        <w:rPr>
          <w:rFonts w:hint="default" w:ascii="Nimbus Roman" w:hAnsi="Nimbus Roman" w:eastAsia="仿宋_GB2312" w:cs="Nimbus Roman"/>
          <w:b w:val="0"/>
          <w:bCs w:val="0"/>
          <w:color w:val="auto"/>
          <w:sz w:val="32"/>
          <w:szCs w:val="32"/>
          <w:lang w:val="en-US" w:eastAsia="zh-CN"/>
        </w:rPr>
        <w:t>开展海外并购、承包投资，带动设备出口、劳务输出。实施服务贸易提质行动，支持知识产权、文旅、会计、法律、金融服务等知识密集型服务贸易发展。</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16.加快发展新业态。抢抓三门峡保税物流中心（B型）获批机遇，塑造我市开放平台新优势。推动</w:t>
      </w:r>
      <w:r>
        <w:rPr>
          <w:rFonts w:hint="default" w:ascii="仿宋_GB2312" w:hAnsi="仿宋_GB2312" w:eastAsia="仿宋_GB2312" w:cs="仿宋_GB2312"/>
          <w:b w:val="0"/>
          <w:bCs w:val="0"/>
          <w:color w:val="auto"/>
          <w:sz w:val="32"/>
          <w:szCs w:val="32"/>
          <w:lang w:val="en-US" w:eastAsia="zh-CN"/>
        </w:rPr>
        <w:t>“跨境电商＋产业带”</w:t>
      </w:r>
      <w:r>
        <w:rPr>
          <w:rFonts w:hint="default" w:ascii="Nimbus Roman" w:hAnsi="Nimbus Roman" w:eastAsia="仿宋_GB2312" w:cs="Nimbus Roman"/>
          <w:b w:val="0"/>
          <w:bCs w:val="0"/>
          <w:color w:val="auto"/>
          <w:sz w:val="32"/>
          <w:szCs w:val="32"/>
          <w:lang w:val="en-US" w:eastAsia="zh-CN"/>
        </w:rPr>
        <w:t>融合发展，深度融入全省</w:t>
      </w:r>
      <w:r>
        <w:rPr>
          <w:rFonts w:hint="eastAsia" w:ascii="仿宋_GB2312" w:hAnsi="仿宋_GB2312" w:eastAsia="仿宋_GB2312" w:cs="仿宋_GB2312"/>
          <w:b w:val="0"/>
          <w:bCs w:val="0"/>
          <w:color w:val="auto"/>
          <w:sz w:val="32"/>
          <w:szCs w:val="32"/>
          <w:lang w:val="en-US" w:eastAsia="zh-CN"/>
        </w:rPr>
        <w:t>“跨境电商+产业带”</w:t>
      </w:r>
      <w:r>
        <w:rPr>
          <w:rFonts w:hint="default" w:ascii="Nimbus Roman" w:hAnsi="Nimbus Roman" w:eastAsia="仿宋_GB2312" w:cs="Nimbus Roman"/>
          <w:b w:val="0"/>
          <w:bCs w:val="0"/>
          <w:color w:val="auto"/>
          <w:sz w:val="32"/>
          <w:szCs w:val="32"/>
          <w:lang w:val="en-US" w:eastAsia="zh-CN"/>
        </w:rPr>
        <w:t>百场对接活动，聚焦有色金属、农产品、装备制造等优势产业，靶向引进广州等沿海发达地区优质跨境电商企业；招引培育跨境电商源头工厂5家；办好三门峡市电商短视频和直播大赛，提升赛事规模和品质。支持企业在“一带一路”沿线、RCEP成员国布局公共海外仓和前置仓，</w:t>
      </w:r>
      <w:r>
        <w:rPr>
          <w:rFonts w:hint="eastAsia" w:ascii="仿宋_GB2312" w:hAnsi="仿宋_GB2312" w:eastAsia="仿宋_GB2312" w:cs="仿宋_GB2312"/>
          <w:b w:val="0"/>
          <w:bCs w:val="0"/>
          <w:color w:val="auto"/>
          <w:sz w:val="32"/>
          <w:szCs w:val="32"/>
          <w:lang w:val="en-US" w:eastAsia="zh-CN"/>
        </w:rPr>
        <w:t>探索“前店后仓”模式。</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color w:val="auto"/>
          <w:sz w:val="32"/>
          <w:szCs w:val="32"/>
          <w:lang w:val="en-US" w:eastAsia="zh-CN"/>
        </w:rPr>
      </w:pPr>
      <w:r>
        <w:rPr>
          <w:rFonts w:hint="default" w:ascii="Nimbus Roman" w:hAnsi="Nimbus Roman" w:eastAsia="黑体" w:cs="Nimbus Roman"/>
          <w:color w:val="auto"/>
          <w:sz w:val="32"/>
          <w:szCs w:val="32"/>
          <w:highlight w:val="none"/>
          <w:u w:val="none"/>
          <w:lang w:val="en-US" w:eastAsia="zh-CN"/>
        </w:rPr>
        <w:t>三、保障措施</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default" w:ascii="Nimbus Roman" w:hAnsi="Nimbus Roman" w:eastAsia="仿宋_GB2312" w:cs="Nimbus Roman"/>
          <w:b w:val="0"/>
          <w:bCs w:val="0"/>
          <w:color w:val="auto"/>
          <w:sz w:val="32"/>
          <w:szCs w:val="32"/>
          <w:lang w:val="en-US" w:eastAsia="zh-CN"/>
        </w:rPr>
      </w:pPr>
      <w:r>
        <w:rPr>
          <w:rFonts w:hint="default" w:ascii="Nimbus Roman" w:hAnsi="Nimbus Roman" w:eastAsia="仿宋_GB2312" w:cs="Nimbus Roman"/>
          <w:b w:val="0"/>
          <w:bCs w:val="0"/>
          <w:color w:val="auto"/>
          <w:sz w:val="32"/>
          <w:szCs w:val="32"/>
          <w:lang w:val="en-US" w:eastAsia="zh-CN"/>
        </w:rPr>
        <w:t>坚持和加强党对开放强市工作的全面领导，强化统筹谋划，将高水平对外开放摆在重要位置；成立开放强市建设工作专班，强化统筹协调，凝聚部门合力，各县（市、区）和市直有关部门要强化贯彻落实，主动融入</w:t>
      </w:r>
      <w:r>
        <w:rPr>
          <w:rFonts w:hint="eastAsia" w:ascii="Nimbus Roman" w:hAnsi="Nimbus Roman" w:eastAsia="仿宋_GB2312" w:cs="Nimbus Roman"/>
          <w:b w:val="0"/>
          <w:bCs w:val="0"/>
          <w:color w:val="auto"/>
          <w:sz w:val="32"/>
          <w:szCs w:val="32"/>
          <w:lang w:val="en-US" w:eastAsia="zh-CN"/>
        </w:rPr>
        <w:t>开放强市工作布局</w:t>
      </w:r>
      <w:r>
        <w:rPr>
          <w:rFonts w:hint="default" w:ascii="Nimbus Roman" w:hAnsi="Nimbus Roman" w:eastAsia="仿宋_GB2312" w:cs="Nimbus Roman"/>
          <w:b w:val="0"/>
          <w:bCs w:val="0"/>
          <w:color w:val="auto"/>
          <w:sz w:val="32"/>
          <w:szCs w:val="32"/>
          <w:lang w:val="en-US" w:eastAsia="zh-CN"/>
        </w:rPr>
        <w:t>，与专班组协同联动，</w:t>
      </w:r>
      <w:r>
        <w:rPr>
          <w:rFonts w:hint="eastAsia" w:ascii="Nimbus Roman" w:hAnsi="Nimbus Roman" w:eastAsia="仿宋_GB2312" w:cs="Nimbus Roman"/>
          <w:b w:val="0"/>
          <w:bCs w:val="0"/>
          <w:color w:val="auto"/>
          <w:sz w:val="32"/>
          <w:szCs w:val="32"/>
          <w:lang w:val="en-US" w:eastAsia="zh-CN"/>
        </w:rPr>
        <w:t>共同为全市经济高质量发展贡献力量</w:t>
      </w:r>
      <w:r>
        <w:rPr>
          <w:rFonts w:hint="default" w:ascii="Nimbus Roman" w:hAnsi="Nimbus Roman" w:eastAsia="仿宋_GB2312" w:cs="Nimbus Roman"/>
          <w:b w:val="0"/>
          <w:bCs w:val="0"/>
          <w:color w:val="auto"/>
          <w:sz w:val="32"/>
          <w:szCs w:val="32"/>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beforeAutospacing="0" w:afterAutospacing="0" w:line="620" w:lineRule="exact"/>
        <w:jc w:val="both"/>
        <w:textAlignment w:val="auto"/>
        <w:rPr>
          <w:rFonts w:hint="default" w:ascii="Nimbus Roman" w:hAnsi="Nimbus Roman" w:eastAsia="仿宋_GB2312" w:cs="Nimbus Roman"/>
          <w:color w:val="auto"/>
          <w:kern w:val="2"/>
          <w:sz w:val="32"/>
          <w:szCs w:val="32"/>
          <w:lang w:val="en-US" w:eastAsia="zh-CN" w:bidi="ar-SA"/>
        </w:rPr>
      </w:pPr>
      <w:bookmarkStart w:id="0" w:name="_GoBack"/>
      <w:bookmarkEnd w:id="0"/>
    </w:p>
    <w:p>
      <w:pPr>
        <w:pStyle w:val="2"/>
        <w:keepNext w:val="0"/>
        <w:keepLines w:val="0"/>
        <w:pageBreakBefore w:val="0"/>
        <w:kinsoku/>
        <w:wordWrap/>
        <w:overflowPunct/>
        <w:topLinePunct w:val="0"/>
        <w:autoSpaceDE/>
        <w:autoSpaceDN/>
        <w:bidi w:val="0"/>
        <w:adjustRightInd/>
        <w:snapToGrid/>
        <w:spacing w:line="240" w:lineRule="exact"/>
        <w:jc w:val="both"/>
        <w:rPr>
          <w:rFonts w:hint="default" w:ascii="Nimbus Roman" w:hAnsi="Nimbus Roman" w:cs="Nimbus Roma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C1123"/>
    <w:rsid w:val="04227512"/>
    <w:rsid w:val="059E270D"/>
    <w:rsid w:val="06EF8662"/>
    <w:rsid w:val="087C6B93"/>
    <w:rsid w:val="09D45935"/>
    <w:rsid w:val="0BA72236"/>
    <w:rsid w:val="0DFF2F10"/>
    <w:rsid w:val="0FBD1233"/>
    <w:rsid w:val="0FF26072"/>
    <w:rsid w:val="12491BA5"/>
    <w:rsid w:val="15A41023"/>
    <w:rsid w:val="164E7DA2"/>
    <w:rsid w:val="16BE9C15"/>
    <w:rsid w:val="171259A8"/>
    <w:rsid w:val="17F4BEA3"/>
    <w:rsid w:val="19695D78"/>
    <w:rsid w:val="1A7C1301"/>
    <w:rsid w:val="1CFBB431"/>
    <w:rsid w:val="1D754862"/>
    <w:rsid w:val="1DEFAED1"/>
    <w:rsid w:val="1E3D7AF5"/>
    <w:rsid w:val="1E791917"/>
    <w:rsid w:val="1F7DE424"/>
    <w:rsid w:val="1FDF7A11"/>
    <w:rsid w:val="1FEAF74D"/>
    <w:rsid w:val="210D0846"/>
    <w:rsid w:val="21DA38AD"/>
    <w:rsid w:val="23066604"/>
    <w:rsid w:val="27952868"/>
    <w:rsid w:val="28C1487E"/>
    <w:rsid w:val="2B414BD3"/>
    <w:rsid w:val="2C906929"/>
    <w:rsid w:val="2FCA0373"/>
    <w:rsid w:val="2FF3D130"/>
    <w:rsid w:val="2FF701D1"/>
    <w:rsid w:val="2FFD1CE2"/>
    <w:rsid w:val="317E7B34"/>
    <w:rsid w:val="3357AC3E"/>
    <w:rsid w:val="33FE54AE"/>
    <w:rsid w:val="342952F0"/>
    <w:rsid w:val="373DCCD0"/>
    <w:rsid w:val="37712166"/>
    <w:rsid w:val="37C93D50"/>
    <w:rsid w:val="385505E5"/>
    <w:rsid w:val="3B3B6331"/>
    <w:rsid w:val="3C7F1393"/>
    <w:rsid w:val="3D7E48E0"/>
    <w:rsid w:val="3DCDE16C"/>
    <w:rsid w:val="3DEDA0F3"/>
    <w:rsid w:val="3DFFA136"/>
    <w:rsid w:val="3E7C1E93"/>
    <w:rsid w:val="3E7F8B5F"/>
    <w:rsid w:val="3EDF5F4F"/>
    <w:rsid w:val="3F3C6241"/>
    <w:rsid w:val="3F7F2472"/>
    <w:rsid w:val="3FBFB4E1"/>
    <w:rsid w:val="3FCD8A95"/>
    <w:rsid w:val="3FF4450A"/>
    <w:rsid w:val="406D3CE7"/>
    <w:rsid w:val="43BFBAB8"/>
    <w:rsid w:val="45E5704A"/>
    <w:rsid w:val="45F83A10"/>
    <w:rsid w:val="47F9C257"/>
    <w:rsid w:val="47FFF97D"/>
    <w:rsid w:val="4BD47574"/>
    <w:rsid w:val="4CE71A5F"/>
    <w:rsid w:val="4CFE2F63"/>
    <w:rsid w:val="4DB33889"/>
    <w:rsid w:val="4E7620F7"/>
    <w:rsid w:val="4EBF3D18"/>
    <w:rsid w:val="502C1123"/>
    <w:rsid w:val="51663C9A"/>
    <w:rsid w:val="54336CC9"/>
    <w:rsid w:val="56EB7E84"/>
    <w:rsid w:val="56FD86DB"/>
    <w:rsid w:val="57DF9336"/>
    <w:rsid w:val="57E9601D"/>
    <w:rsid w:val="5B301722"/>
    <w:rsid w:val="5BFF3030"/>
    <w:rsid w:val="5C4E5C0F"/>
    <w:rsid w:val="5CDD2647"/>
    <w:rsid w:val="5DED8FCF"/>
    <w:rsid w:val="5DF7AB47"/>
    <w:rsid w:val="5E773734"/>
    <w:rsid w:val="5F2F5C31"/>
    <w:rsid w:val="5F63151C"/>
    <w:rsid w:val="5FDF5DD0"/>
    <w:rsid w:val="5FF52998"/>
    <w:rsid w:val="64752441"/>
    <w:rsid w:val="64FE51E3"/>
    <w:rsid w:val="67B55510"/>
    <w:rsid w:val="69DF8275"/>
    <w:rsid w:val="6D5B6C1D"/>
    <w:rsid w:val="6EECC67A"/>
    <w:rsid w:val="6EFF15EF"/>
    <w:rsid w:val="6F6FC296"/>
    <w:rsid w:val="6FF668E6"/>
    <w:rsid w:val="6FFD25BA"/>
    <w:rsid w:val="6FFF6CB4"/>
    <w:rsid w:val="737E603F"/>
    <w:rsid w:val="73DC834E"/>
    <w:rsid w:val="753331DA"/>
    <w:rsid w:val="75BFE905"/>
    <w:rsid w:val="76195E2E"/>
    <w:rsid w:val="767863F9"/>
    <w:rsid w:val="76DE61F5"/>
    <w:rsid w:val="76FF919D"/>
    <w:rsid w:val="77353E71"/>
    <w:rsid w:val="773ED010"/>
    <w:rsid w:val="77BEE954"/>
    <w:rsid w:val="77E67D42"/>
    <w:rsid w:val="77FE2ED9"/>
    <w:rsid w:val="7836489C"/>
    <w:rsid w:val="78B5A249"/>
    <w:rsid w:val="78E63D23"/>
    <w:rsid w:val="791F3905"/>
    <w:rsid w:val="797B53AE"/>
    <w:rsid w:val="7A6537B6"/>
    <w:rsid w:val="7AEAF38F"/>
    <w:rsid w:val="7AFBB718"/>
    <w:rsid w:val="7AFEEB47"/>
    <w:rsid w:val="7B55A09A"/>
    <w:rsid w:val="7B7E9B08"/>
    <w:rsid w:val="7B7FCC59"/>
    <w:rsid w:val="7BEFE9E3"/>
    <w:rsid w:val="7BF647EC"/>
    <w:rsid w:val="7BFF9F4E"/>
    <w:rsid w:val="7D4F9C7A"/>
    <w:rsid w:val="7D5FAB10"/>
    <w:rsid w:val="7DCFD2C4"/>
    <w:rsid w:val="7DD2CAD9"/>
    <w:rsid w:val="7DEF3BEA"/>
    <w:rsid w:val="7DFFF7DA"/>
    <w:rsid w:val="7E1FAFA6"/>
    <w:rsid w:val="7E3DE543"/>
    <w:rsid w:val="7EA791CA"/>
    <w:rsid w:val="7EB74285"/>
    <w:rsid w:val="7EBFFD3A"/>
    <w:rsid w:val="7EDBC2C3"/>
    <w:rsid w:val="7EDFCB98"/>
    <w:rsid w:val="7EF71F95"/>
    <w:rsid w:val="7EFD456E"/>
    <w:rsid w:val="7EFDE07F"/>
    <w:rsid w:val="7FC7720A"/>
    <w:rsid w:val="7FCC757A"/>
    <w:rsid w:val="7FD7F765"/>
    <w:rsid w:val="7FDF2A6B"/>
    <w:rsid w:val="7FE78D43"/>
    <w:rsid w:val="7FECEAC6"/>
    <w:rsid w:val="7FF5C2D2"/>
    <w:rsid w:val="7FF7BB4C"/>
    <w:rsid w:val="7FF97B36"/>
    <w:rsid w:val="7FFE3425"/>
    <w:rsid w:val="8FDD269C"/>
    <w:rsid w:val="95F71009"/>
    <w:rsid w:val="977F95BF"/>
    <w:rsid w:val="99CB13F8"/>
    <w:rsid w:val="A7FF0604"/>
    <w:rsid w:val="AB7E737B"/>
    <w:rsid w:val="AF1F88E0"/>
    <w:rsid w:val="AFDF0EEA"/>
    <w:rsid w:val="B1F372ED"/>
    <w:rsid w:val="B7BB9D61"/>
    <w:rsid w:val="B7BFB547"/>
    <w:rsid w:val="B7FD62EF"/>
    <w:rsid w:val="B9605DD6"/>
    <w:rsid w:val="BA5F7CC9"/>
    <w:rsid w:val="BA74E56D"/>
    <w:rsid w:val="BBEF46D3"/>
    <w:rsid w:val="BBFD2D94"/>
    <w:rsid w:val="BC5FCD40"/>
    <w:rsid w:val="BD5E94BF"/>
    <w:rsid w:val="BDDFCBD1"/>
    <w:rsid w:val="BDEEBC10"/>
    <w:rsid w:val="BDFFF035"/>
    <w:rsid w:val="BE9E0B97"/>
    <w:rsid w:val="BEB13CED"/>
    <w:rsid w:val="BF7D697C"/>
    <w:rsid w:val="BFEFD01A"/>
    <w:rsid w:val="BFFB383B"/>
    <w:rsid w:val="BFFFDF97"/>
    <w:rsid w:val="C3FF8AE7"/>
    <w:rsid w:val="CADA2278"/>
    <w:rsid w:val="CBD1FE3A"/>
    <w:rsid w:val="CFA9C8A5"/>
    <w:rsid w:val="D5EDAC3A"/>
    <w:rsid w:val="DBEF9201"/>
    <w:rsid w:val="DEBB6868"/>
    <w:rsid w:val="DFB7D629"/>
    <w:rsid w:val="DFBF0DE0"/>
    <w:rsid w:val="DFBFDC99"/>
    <w:rsid w:val="DFF94114"/>
    <w:rsid w:val="E1FDAF5B"/>
    <w:rsid w:val="E68FDA1F"/>
    <w:rsid w:val="E6FDABDC"/>
    <w:rsid w:val="E9FB79A5"/>
    <w:rsid w:val="EC2F034D"/>
    <w:rsid w:val="EDEDB861"/>
    <w:rsid w:val="EDFFB9BB"/>
    <w:rsid w:val="EEFBBD8C"/>
    <w:rsid w:val="EF790392"/>
    <w:rsid w:val="EFBDF6EF"/>
    <w:rsid w:val="EFEBB644"/>
    <w:rsid w:val="EFF73C48"/>
    <w:rsid w:val="F077DB2E"/>
    <w:rsid w:val="F16327CC"/>
    <w:rsid w:val="F1738BBC"/>
    <w:rsid w:val="F1BF42FA"/>
    <w:rsid w:val="F3CCE760"/>
    <w:rsid w:val="F4CF0AD8"/>
    <w:rsid w:val="F5D7B90F"/>
    <w:rsid w:val="F695EADA"/>
    <w:rsid w:val="F76CB732"/>
    <w:rsid w:val="F76D236E"/>
    <w:rsid w:val="F87EE30A"/>
    <w:rsid w:val="FA5D87C7"/>
    <w:rsid w:val="FAB3A79D"/>
    <w:rsid w:val="FAFF77BF"/>
    <w:rsid w:val="FB7CA757"/>
    <w:rsid w:val="FBB4D247"/>
    <w:rsid w:val="FBDE9394"/>
    <w:rsid w:val="FBF5E6E0"/>
    <w:rsid w:val="FBFC0F96"/>
    <w:rsid w:val="FC3DCBDC"/>
    <w:rsid w:val="FD7F7F61"/>
    <w:rsid w:val="FDD91433"/>
    <w:rsid w:val="FDFD00E4"/>
    <w:rsid w:val="FE7E44E8"/>
    <w:rsid w:val="FE97D0F7"/>
    <w:rsid w:val="FECF4F1C"/>
    <w:rsid w:val="FEDEB4A9"/>
    <w:rsid w:val="FEF626AF"/>
    <w:rsid w:val="FF7234BC"/>
    <w:rsid w:val="FF762365"/>
    <w:rsid w:val="FF7DD3A8"/>
    <w:rsid w:val="FFBB7088"/>
    <w:rsid w:val="FFBBC9A3"/>
    <w:rsid w:val="FFD363A0"/>
    <w:rsid w:val="FFD59876"/>
    <w:rsid w:val="FFDED634"/>
    <w:rsid w:val="FFE316E5"/>
    <w:rsid w:val="FFFBD705"/>
    <w:rsid w:val="FFFD61D7"/>
    <w:rsid w:val="FFFECEF3"/>
    <w:rsid w:val="FFFF0A01"/>
    <w:rsid w:val="FFFF383F"/>
    <w:rsid w:val="FFFF8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next w:val="1"/>
    <w:qFormat/>
    <w:uiPriority w:val="10"/>
    <w:pPr>
      <w:widowControl w:val="0"/>
      <w:jc w:val="center"/>
      <w:outlineLvl w:val="0"/>
    </w:pPr>
    <w:rPr>
      <w:rFonts w:ascii="Arial" w:hAnsi="Arial" w:eastAsia="宋体" w:cs="Arial"/>
      <w:b/>
      <w:bCs/>
      <w:kern w:val="2"/>
      <w:sz w:val="32"/>
      <w:szCs w:val="32"/>
      <w:lang w:val="en-US" w:eastAsia="zh-CN" w:bidi="ar-SA"/>
    </w:rPr>
  </w:style>
  <w:style w:type="paragraph" w:styleId="4">
    <w:name w:val="Body Text"/>
    <w:basedOn w:val="1"/>
    <w:next w:val="1"/>
    <w:qFormat/>
    <w:uiPriority w:val="0"/>
    <w:pPr>
      <w:spacing w:line="600" w:lineRule="exact"/>
      <w:jc w:val="center"/>
    </w:pPr>
    <w:rPr>
      <w:rFonts w:ascii="Calibri" w:hAnsi="Calibri" w:eastAsia="文星标宋" w:cs="宋体"/>
      <w:sz w:val="44"/>
      <w:szCs w:val="44"/>
    </w:rPr>
  </w:style>
  <w:style w:type="paragraph" w:styleId="5">
    <w:name w:val="Body Text Indent"/>
    <w:basedOn w:val="1"/>
    <w:qFormat/>
    <w:uiPriority w:val="0"/>
    <w:pPr>
      <w:tabs>
        <w:tab w:val="left" w:pos="3600"/>
      </w:tabs>
      <w:ind w:left="-359" w:leftChars="-171" w:firstLine="675" w:firstLineChars="211"/>
    </w:pPr>
    <w:rPr>
      <w:rFonts w:ascii="仿宋_GB2312" w:eastAsia="仿宋_GB2312"/>
      <w:sz w:val="32"/>
    </w:rPr>
  </w:style>
  <w:style w:type="paragraph" w:styleId="6">
    <w:name w:val="Body Text Indent 2"/>
    <w:basedOn w:val="1"/>
    <w:unhideWhenUsed/>
    <w:qFormat/>
    <w:uiPriority w:val="0"/>
    <w:pPr>
      <w:spacing w:after="120" w:line="480" w:lineRule="auto"/>
      <w:ind w:left="420" w:leftChars="200" w:firstLine="200" w:firstLineChars="200"/>
    </w:pPr>
    <w:rPr>
      <w:rFonts w:ascii="宋体" w:hAnsi="等线" w:eastAsia="等线"/>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after="120" w:afterLines="0" w:afterAutospacing="0" w:line="480" w:lineRule="auto"/>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4"/>
    <w:next w:val="12"/>
    <w:qFormat/>
    <w:uiPriority w:val="0"/>
    <w:pPr>
      <w:widowControl w:val="0"/>
      <w:spacing w:line="560" w:lineRule="exact"/>
      <w:ind w:firstLine="420"/>
      <w:jc w:val="both"/>
    </w:pPr>
    <w:rPr>
      <w:rFonts w:ascii="Times New Roman" w:hAnsi="Times New Roman" w:eastAsia="仿宋" w:cs="Times New Roman"/>
      <w:b/>
      <w:bCs/>
      <w:kern w:val="2"/>
      <w:sz w:val="32"/>
      <w:szCs w:val="22"/>
      <w:lang w:val="en-US" w:eastAsia="zh-CN" w:bidi="ar-SA"/>
    </w:rPr>
  </w:style>
  <w:style w:type="paragraph" w:styleId="12">
    <w:name w:val="Body Text First Indent 2"/>
    <w:basedOn w:val="5"/>
    <w:next w:val="11"/>
    <w:qFormat/>
    <w:uiPriority w:val="0"/>
    <w:pPr>
      <w:ind w:firstLine="420" w:firstLineChars="200"/>
    </w:pPr>
  </w:style>
  <w:style w:type="character" w:styleId="15">
    <w:name w:val="Strong"/>
    <w:basedOn w:val="14"/>
    <w:qFormat/>
    <w:uiPriority w:val="0"/>
    <w:rPr>
      <w:b/>
    </w:rPr>
  </w:style>
  <w:style w:type="character" w:styleId="16">
    <w:name w:val="Emphasis"/>
    <w:basedOn w:val="14"/>
    <w:qFormat/>
    <w:uiPriority w:val="0"/>
    <w:rPr>
      <w:i/>
    </w:rPr>
  </w:style>
  <w:style w:type="character" w:customStyle="1" w:styleId="17">
    <w:name w:val="font41"/>
    <w:basedOn w:val="14"/>
    <w:qFormat/>
    <w:uiPriority w:val="0"/>
    <w:rPr>
      <w:rFonts w:hint="eastAsia" w:ascii="仿宋_GB2312" w:eastAsia="仿宋_GB2312" w:cs="仿宋_GB2312"/>
      <w:color w:val="000000"/>
      <w:sz w:val="32"/>
      <w:szCs w:val="32"/>
      <w:u w:val="none"/>
    </w:rPr>
  </w:style>
  <w:style w:type="character" w:customStyle="1" w:styleId="18">
    <w:name w:val="font01"/>
    <w:basedOn w:val="14"/>
    <w:qFormat/>
    <w:uiPriority w:val="0"/>
    <w:rPr>
      <w:rFonts w:hint="eastAsia" w:ascii="仿宋_GB2312" w:eastAsia="仿宋_GB2312" w:cs="仿宋_GB2312"/>
      <w:b/>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10621</Words>
  <Characters>10813</Characters>
  <Lines>0</Lines>
  <Paragraphs>0</Paragraphs>
  <TotalTime>1</TotalTime>
  <ScaleCrop>false</ScaleCrop>
  <LinksUpToDate>false</LinksUpToDate>
  <CharactersWithSpaces>10936</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2026-02-01T01:09:00Z</dcterms:created>
  <dc:creator>张浩</dc:creator>
  <cp:lastModifiedBy>kylin</cp:lastModifiedBy>
  <cp:lastPrinted>2026-04-09T00:05:00Z</cp:lastPrinted>
  <dcterms:modified xsi:type="dcterms:W3CDTF">2026-05-09T08:33:57Z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00F9B9269B224C888E4FDDDF47A52610_13</vt:lpwstr>
  </property>
  <property fmtid="{D5CDD505-2E9C-101B-9397-08002B2CF9AE}" pid="4" name="KSOTemplateDocerSaveRecord">
    <vt:lpwstr>eyJoZGlkIjoiMWNmOGNhZDY5YWIwZDc3NjI3MmM2ZWQzYzJkM2IyZTkiLCJ1c2VySWQiOiI0NDAxMTUwNTYifQ==</vt:lpwstr>
  </property>
</Properties>
</file>