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20" w:lineRule="exact"/>
        <w:jc w:val="center"/>
        <w:rPr>
          <w:rFonts w:hint="eastAsia" w:ascii="方正小标宋简体" w:eastAsia="方正小标宋简体"/>
          <w:sz w:val="44"/>
          <w:szCs w:val="44"/>
          <w:lang w:eastAsia="zh-CN"/>
        </w:rPr>
      </w:pPr>
      <w:r>
        <w:rPr>
          <w:rFonts w:hint="eastAsia" w:ascii="方正小标宋简体" w:hAnsi="仿宋" w:eastAsia="方正小标宋简体"/>
          <w:sz w:val="44"/>
          <w:szCs w:val="44"/>
          <w:u w:val="none"/>
          <w:lang w:val="en-US" w:eastAsia="zh-CN"/>
        </w:rPr>
        <w:t>2022年三门峡市商务局随机抽查事项清单</w:t>
      </w:r>
    </w:p>
    <w:tbl>
      <w:tblPr>
        <w:tblStyle w:val="6"/>
        <w:tblpPr w:leftFromText="181" w:rightFromText="181" w:vertAnchor="text" w:horzAnchor="page" w:tblpXSpec="center" w:tblpY="1"/>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366"/>
        <w:gridCol w:w="1105"/>
        <w:gridCol w:w="8319"/>
        <w:gridCol w:w="1441"/>
        <w:gridCol w:w="1231"/>
        <w:gridCol w:w="1046"/>
        <w:gridCol w:w="5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4" w:hRule="atLeast"/>
          <w:jc w:val="center"/>
        </w:trPr>
        <w:tc>
          <w:tcPr>
            <w:tcW w:w="0" w:type="auto"/>
            <w:tcBorders>
              <w:top w:val="single" w:color="auto" w:sz="12" w:space="0"/>
            </w:tcBorders>
            <w:noWrap w:val="0"/>
            <w:vAlign w:val="center"/>
          </w:tcPr>
          <w:p>
            <w:pPr>
              <w:adjustRightInd w:val="0"/>
              <w:snapToGrid w:val="0"/>
              <w:spacing w:line="300" w:lineRule="exact"/>
              <w:jc w:val="center"/>
              <w:rPr>
                <w:rFonts w:ascii="黑体" w:hAnsi="黑体" w:eastAsia="黑体" w:cs="黑体"/>
                <w:bCs/>
                <w:kern w:val="0"/>
                <w:sz w:val="24"/>
                <w:szCs w:val="24"/>
              </w:rPr>
            </w:pPr>
            <w:r>
              <w:rPr>
                <w:rFonts w:hint="eastAsia" w:ascii="黑体" w:hAnsi="黑体" w:eastAsia="黑体" w:cs="黑体"/>
                <w:bCs/>
                <w:kern w:val="0"/>
                <w:sz w:val="24"/>
                <w:szCs w:val="24"/>
              </w:rPr>
              <w:t>序号</w:t>
            </w:r>
          </w:p>
        </w:tc>
        <w:tc>
          <w:tcPr>
            <w:tcW w:w="0" w:type="auto"/>
            <w:tcBorders>
              <w:top w:val="single" w:color="auto" w:sz="12" w:space="0"/>
            </w:tcBorders>
            <w:noWrap w:val="0"/>
            <w:vAlign w:val="center"/>
          </w:tcPr>
          <w:p>
            <w:pPr>
              <w:adjustRightInd w:val="0"/>
              <w:snapToGrid w:val="0"/>
              <w:spacing w:line="300" w:lineRule="exact"/>
              <w:jc w:val="center"/>
              <w:rPr>
                <w:rFonts w:hint="eastAsia" w:eastAsia="黑体"/>
                <w:lang w:eastAsia="zh-CN"/>
              </w:rPr>
            </w:pPr>
            <w:r>
              <w:rPr>
                <w:rFonts w:hint="eastAsia" w:ascii="黑体" w:hAnsi="黑体" w:eastAsia="黑体" w:cs="黑体"/>
                <w:bCs/>
                <w:kern w:val="0"/>
                <w:sz w:val="24"/>
                <w:szCs w:val="24"/>
              </w:rPr>
              <w:t>抽查事项</w:t>
            </w:r>
            <w:r>
              <w:rPr>
                <w:rFonts w:hint="eastAsia" w:ascii="黑体" w:hAnsi="黑体" w:eastAsia="黑体" w:cs="黑体"/>
                <w:bCs/>
                <w:kern w:val="0"/>
                <w:sz w:val="24"/>
                <w:szCs w:val="24"/>
                <w:lang w:eastAsia="zh-CN"/>
              </w:rPr>
              <w:t>名称</w:t>
            </w:r>
          </w:p>
        </w:tc>
        <w:tc>
          <w:tcPr>
            <w:tcW w:w="8319" w:type="dxa"/>
            <w:tcBorders>
              <w:top w:val="single" w:color="auto" w:sz="12" w:space="0"/>
            </w:tcBorders>
            <w:noWrap w:val="0"/>
            <w:vAlign w:val="center"/>
          </w:tcPr>
          <w:p>
            <w:pPr>
              <w:adjustRightInd w:val="0"/>
              <w:snapToGrid w:val="0"/>
              <w:spacing w:line="300" w:lineRule="exact"/>
              <w:jc w:val="center"/>
              <w:rPr>
                <w:rFonts w:hint="eastAsia" w:eastAsia="黑体"/>
                <w:lang w:val="en-US" w:eastAsia="zh-CN"/>
              </w:rPr>
            </w:pPr>
            <w:r>
              <w:rPr>
                <w:rFonts w:hint="eastAsia" w:ascii="黑体" w:hAnsi="黑体" w:eastAsia="黑体" w:cs="黑体"/>
                <w:bCs/>
                <w:kern w:val="0"/>
                <w:sz w:val="24"/>
                <w:szCs w:val="24"/>
                <w:lang w:eastAsia="zh-CN"/>
              </w:rPr>
              <w:t>检查依据及检查内容</w:t>
            </w:r>
          </w:p>
        </w:tc>
        <w:tc>
          <w:tcPr>
            <w:tcW w:w="1441" w:type="dxa"/>
            <w:tcBorders>
              <w:top w:val="single" w:color="auto" w:sz="12" w:space="0"/>
            </w:tcBorders>
            <w:noWrap w:val="0"/>
            <w:vAlign w:val="center"/>
          </w:tcPr>
          <w:p>
            <w:pPr>
              <w:adjustRightInd w:val="0"/>
              <w:snapToGrid w:val="0"/>
              <w:spacing w:line="300" w:lineRule="exact"/>
              <w:jc w:val="center"/>
              <w:rPr>
                <w:rFonts w:hint="eastAsia" w:ascii="黑体" w:hAnsi="黑体" w:eastAsia="黑体" w:cs="黑体"/>
                <w:bCs/>
                <w:kern w:val="0"/>
                <w:sz w:val="24"/>
                <w:szCs w:val="24"/>
                <w:lang w:eastAsia="zh-CN"/>
              </w:rPr>
            </w:pPr>
            <w:r>
              <w:rPr>
                <w:rFonts w:hint="eastAsia" w:ascii="黑体" w:hAnsi="黑体" w:eastAsia="黑体" w:cs="黑体"/>
                <w:bCs/>
                <w:kern w:val="0"/>
                <w:sz w:val="24"/>
                <w:szCs w:val="24"/>
                <w:lang w:eastAsia="zh-CN"/>
              </w:rPr>
              <w:t>事项类别</w:t>
            </w:r>
          </w:p>
        </w:tc>
        <w:tc>
          <w:tcPr>
            <w:tcW w:w="1231" w:type="dxa"/>
            <w:tcBorders>
              <w:top w:val="single" w:color="auto" w:sz="12" w:space="0"/>
            </w:tcBorders>
            <w:noWrap w:val="0"/>
            <w:vAlign w:val="center"/>
          </w:tcPr>
          <w:p>
            <w:pPr>
              <w:adjustRightInd w:val="0"/>
              <w:snapToGrid w:val="0"/>
              <w:spacing w:line="300" w:lineRule="exact"/>
              <w:jc w:val="center"/>
              <w:rPr>
                <w:rFonts w:ascii="黑体" w:hAnsi="黑体" w:eastAsia="黑体" w:cs="黑体"/>
                <w:bCs/>
                <w:kern w:val="0"/>
                <w:sz w:val="24"/>
                <w:szCs w:val="24"/>
              </w:rPr>
            </w:pPr>
            <w:r>
              <w:rPr>
                <w:rFonts w:hint="eastAsia" w:ascii="黑体" w:hAnsi="黑体" w:eastAsia="黑体" w:cs="黑体"/>
                <w:bCs/>
                <w:kern w:val="0"/>
                <w:sz w:val="24"/>
                <w:szCs w:val="24"/>
                <w:lang w:eastAsia="zh-CN"/>
              </w:rPr>
              <w:t>检</w:t>
            </w:r>
            <w:r>
              <w:rPr>
                <w:rFonts w:hint="eastAsia" w:ascii="黑体" w:hAnsi="黑体" w:eastAsia="黑体" w:cs="黑体"/>
                <w:bCs/>
                <w:kern w:val="0"/>
                <w:sz w:val="24"/>
                <w:szCs w:val="24"/>
              </w:rPr>
              <w:t>查</w:t>
            </w:r>
            <w:r>
              <w:rPr>
                <w:rFonts w:hint="eastAsia" w:ascii="黑体" w:hAnsi="黑体" w:eastAsia="黑体" w:cs="黑体"/>
                <w:bCs/>
                <w:kern w:val="0"/>
                <w:sz w:val="24"/>
                <w:szCs w:val="24"/>
                <w:lang w:eastAsia="zh-CN"/>
              </w:rPr>
              <w:t>方式（双随机、一公开</w:t>
            </w:r>
            <w:r>
              <w:rPr>
                <w:rFonts w:hint="eastAsia" w:ascii="黑体" w:hAnsi="黑体" w:eastAsia="黑体" w:cs="黑体"/>
                <w:bCs/>
                <w:kern w:val="0"/>
                <w:sz w:val="24"/>
                <w:szCs w:val="24"/>
                <w:lang w:val="en-US" w:eastAsia="zh-CN"/>
              </w:rPr>
              <w:t>/信用监管/重点监管</w:t>
            </w:r>
            <w:r>
              <w:rPr>
                <w:rFonts w:hint="eastAsia" w:ascii="黑体" w:hAnsi="黑体" w:eastAsia="黑体" w:cs="黑体"/>
                <w:bCs/>
                <w:kern w:val="0"/>
                <w:sz w:val="24"/>
                <w:szCs w:val="24"/>
                <w:lang w:eastAsia="zh-CN"/>
              </w:rPr>
              <w:t>）</w:t>
            </w:r>
          </w:p>
        </w:tc>
        <w:tc>
          <w:tcPr>
            <w:tcW w:w="0" w:type="auto"/>
            <w:tcBorders>
              <w:top w:val="single" w:color="auto" w:sz="12" w:space="0"/>
            </w:tcBorders>
            <w:noWrap w:val="0"/>
            <w:vAlign w:val="center"/>
          </w:tcPr>
          <w:p>
            <w:pPr>
              <w:adjustRightInd w:val="0"/>
              <w:snapToGrid w:val="0"/>
              <w:spacing w:line="300" w:lineRule="exact"/>
              <w:jc w:val="center"/>
              <w:rPr>
                <w:rFonts w:hint="eastAsia" w:ascii="黑体" w:hAnsi="黑体" w:eastAsia="黑体" w:cs="黑体"/>
                <w:bCs/>
                <w:kern w:val="0"/>
                <w:sz w:val="22"/>
                <w:szCs w:val="22"/>
                <w:lang w:eastAsia="zh-CN"/>
              </w:rPr>
            </w:pPr>
            <w:r>
              <w:rPr>
                <w:rFonts w:hint="eastAsia" w:ascii="黑体" w:hAnsi="黑体" w:eastAsia="黑体" w:cs="黑体"/>
                <w:bCs/>
                <w:kern w:val="0"/>
                <w:sz w:val="24"/>
                <w:szCs w:val="24"/>
                <w:lang w:eastAsia="zh-CN"/>
              </w:rPr>
              <w:t>检查对象</w:t>
            </w:r>
          </w:p>
        </w:tc>
        <w:tc>
          <w:tcPr>
            <w:tcW w:w="0" w:type="auto"/>
            <w:tcBorders>
              <w:top w:val="single" w:color="auto" w:sz="12" w:space="0"/>
            </w:tcBorders>
            <w:noWrap w:val="0"/>
            <w:vAlign w:val="center"/>
          </w:tcPr>
          <w:p>
            <w:pPr>
              <w:adjustRightInd w:val="0"/>
              <w:snapToGrid w:val="0"/>
              <w:spacing w:line="300" w:lineRule="exact"/>
              <w:jc w:val="center"/>
              <w:rPr>
                <w:rFonts w:hint="eastAsia" w:ascii="黑体" w:hAnsi="黑体" w:eastAsia="黑体" w:cs="黑体"/>
                <w:bCs/>
                <w:kern w:val="0"/>
                <w:sz w:val="24"/>
                <w:szCs w:val="24"/>
                <w:lang w:eastAsia="zh-CN"/>
              </w:rPr>
            </w:pPr>
            <w:r>
              <w:rPr>
                <w:rFonts w:hint="eastAsia" w:ascii="黑体" w:hAnsi="黑体" w:eastAsia="黑体" w:cs="黑体"/>
                <w:bCs/>
                <w:kern w:val="0"/>
                <w:sz w:val="24"/>
                <w:szCs w:val="24"/>
                <w:lang w:eastAsia="zh-CN"/>
              </w:rPr>
              <w:t>抽查主体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0" w:hRule="atLeast"/>
          <w:jc w:val="center"/>
        </w:trPr>
        <w:tc>
          <w:tcPr>
            <w:tcW w:w="0" w:type="auto"/>
            <w:noWrap w:val="0"/>
            <w:vAlign w:val="center"/>
          </w:tcPr>
          <w:p>
            <w:pPr>
              <w:widowControl/>
              <w:spacing w:line="240" w:lineRule="exact"/>
              <w:jc w:val="center"/>
              <w:rPr>
                <w:rFonts w:hint="eastAsia" w:ascii="宋体" w:cs="宋体"/>
                <w:kern w:val="0"/>
                <w:sz w:val="22"/>
                <w:lang w:val="en-US" w:eastAsia="zh-CN"/>
              </w:rPr>
            </w:pPr>
            <w:r>
              <w:rPr>
                <w:rFonts w:hint="eastAsia" w:ascii="宋体" w:hAnsi="宋体" w:cs="宋体"/>
                <w:color w:val="000000"/>
                <w:kern w:val="0"/>
                <w:sz w:val="22"/>
              </w:rPr>
              <w:t>1</w:t>
            </w:r>
          </w:p>
        </w:tc>
        <w:tc>
          <w:tcPr>
            <w:tcW w:w="0" w:type="auto"/>
            <w:noWrap w:val="0"/>
            <w:vAlign w:val="center"/>
          </w:tcPr>
          <w:p>
            <w:pPr>
              <w:widowControl/>
              <w:spacing w:line="240" w:lineRule="exact"/>
              <w:jc w:val="center"/>
            </w:pPr>
            <w:r>
              <w:rPr>
                <w:rFonts w:hint="eastAsia" w:ascii="仿宋" w:hAnsi="仿宋" w:eastAsia="仿宋" w:cs="仿宋"/>
                <w:i w:val="0"/>
                <w:iCs w:val="0"/>
                <w:color w:val="000000"/>
                <w:kern w:val="0"/>
                <w:sz w:val="20"/>
                <w:szCs w:val="20"/>
                <w:u w:val="none"/>
                <w:lang w:val="en-US" w:eastAsia="zh-CN" w:bidi="ar"/>
              </w:rPr>
              <w:t>成品油市场监督管理</w:t>
            </w:r>
          </w:p>
        </w:tc>
        <w:tc>
          <w:tcPr>
            <w:tcW w:w="8319" w:type="dxa"/>
            <w:noWrap w:val="0"/>
            <w:vAlign w:val="center"/>
          </w:tcPr>
          <w:p>
            <w:pPr>
              <w:widowControl/>
              <w:spacing w:line="240" w:lineRule="exact"/>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国务院关于取消和下放一批行政许可事项的决定》（国发〔2020〕13号）附件2第2项：成品油零售经营资格审批，下放后，设区的市级人民政府指定部门（以下简称指定部门）要会同有关部门通过以下措施加强监管：1.指定部门严格落实成品油流通行业监管职责。要求成品油零售企业建立购销台账制度，完善油品来源、检验报告、检查记录等凭证材料档案。指定部门开展“双随机、一公开”监管，重点检查企业台账制度建立执行情况，发现违法违规行为依法处理或者提请有关部门予以查处。结合企业诚信经营和风险状况依法实施差异化监管。支持行业协会发挥行业自律作用。2.地方政府严格落实属地监管职责。设区的市级人民政府要建立跨部门联合监管机制，按照综合行政执法改革精神，统筹配置行政处罚职能和执法资源，加强协同监管。建立投诉举报制度，定期组织开展对成品油零售企业的专项检查，发现违法违规行为由各有关部门按职责依法依规查处。建立企业信用记录并纳入全国信用信息共享平台，对违法失信企业依法实施失信惩戒。</w:t>
            </w:r>
          </w:p>
          <w:p>
            <w:pPr>
              <w:widowControl/>
              <w:spacing w:line="240" w:lineRule="exact"/>
              <w:jc w:val="left"/>
            </w:pPr>
            <w:r>
              <w:rPr>
                <w:rFonts w:hint="eastAsia" w:ascii="仿宋" w:hAnsi="仿宋" w:eastAsia="仿宋" w:cs="仿宋"/>
                <w:i w:val="0"/>
                <w:iCs w:val="0"/>
                <w:color w:val="000000"/>
                <w:kern w:val="0"/>
                <w:sz w:val="20"/>
                <w:szCs w:val="20"/>
                <w:u w:val="none"/>
                <w:lang w:val="en-US" w:eastAsia="zh-CN" w:bidi="ar"/>
              </w:rPr>
              <w:t>2.《河南省商务厅关于做好近期成品油市场管理工作的通知》（豫商运行〔2020〕79号）“切实履行审批和管理职责”：各地要进一步优化行政服务，创新管理手段，推进“互联网+监管”，建立健全成品油流通领域信用体系。对少数企业或个人在政策过渡期间违法违规从事成品油批发和零售业务的要坚决查处、严厉打击，列入商务领域信用“黑名单”，巩固成品油市场整治成果，确保我省成品油流通平稳有序健康发展。</w:t>
            </w:r>
          </w:p>
        </w:tc>
        <w:tc>
          <w:tcPr>
            <w:tcW w:w="1441" w:type="dxa"/>
            <w:noWrap w:val="0"/>
            <w:vAlign w:val="center"/>
          </w:tcPr>
          <w:p>
            <w:pPr>
              <w:widowControl/>
              <w:spacing w:line="240" w:lineRule="exac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重点检查事项</w:t>
            </w:r>
          </w:p>
        </w:tc>
        <w:tc>
          <w:tcPr>
            <w:tcW w:w="1231" w:type="dxa"/>
            <w:noWrap w:val="0"/>
            <w:vAlign w:val="center"/>
          </w:tcPr>
          <w:p>
            <w:pPr>
              <w:widowControl/>
              <w:spacing w:line="240" w:lineRule="exac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双随机、一公开</w:t>
            </w:r>
          </w:p>
        </w:tc>
        <w:tc>
          <w:tcPr>
            <w:tcW w:w="0" w:type="auto"/>
            <w:noWrap w:val="0"/>
            <w:vAlign w:val="center"/>
          </w:tcPr>
          <w:p>
            <w:pPr>
              <w:widowControl/>
              <w:spacing w:line="240" w:lineRule="exac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全市成品油零售经营企业</w:t>
            </w:r>
          </w:p>
        </w:tc>
        <w:tc>
          <w:tcPr>
            <w:tcW w:w="0" w:type="auto"/>
            <w:noWrap w:val="0"/>
            <w:vAlign w:val="center"/>
          </w:tcPr>
          <w:p>
            <w:pPr>
              <w:widowControl/>
              <w:spacing w:line="240" w:lineRule="exac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市商务局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55" w:hRule="atLeast"/>
          <w:jc w:val="center"/>
        </w:trPr>
        <w:tc>
          <w:tcPr>
            <w:tcW w:w="0" w:type="auto"/>
            <w:noWrap w:val="0"/>
            <w:vAlign w:val="center"/>
          </w:tcPr>
          <w:p>
            <w:pPr>
              <w:widowControl/>
              <w:spacing w:line="240" w:lineRule="exact"/>
              <w:jc w:val="center"/>
              <w:rPr>
                <w:rFonts w:hint="default" w:ascii="宋体" w:cs="宋体"/>
                <w:kern w:val="0"/>
                <w:sz w:val="22"/>
                <w:lang w:val="en-US" w:eastAsia="zh-CN"/>
              </w:rPr>
            </w:pPr>
            <w:r>
              <w:rPr>
                <w:rFonts w:hint="eastAsia" w:ascii="宋体" w:cs="宋体"/>
                <w:kern w:val="0"/>
                <w:sz w:val="22"/>
                <w:lang w:val="en-US" w:eastAsia="zh-CN"/>
              </w:rPr>
              <w:t>2</w:t>
            </w:r>
          </w:p>
        </w:tc>
        <w:tc>
          <w:tcPr>
            <w:tcW w:w="0" w:type="auto"/>
            <w:noWrap w:val="0"/>
            <w:vAlign w:val="center"/>
          </w:tcPr>
          <w:p>
            <w:pPr>
              <w:widowControl/>
              <w:spacing w:line="240" w:lineRule="exact"/>
              <w:jc w:val="center"/>
              <w:rPr>
                <w:rFonts w:hint="eastAsia" w:ascii="宋体" w:hAnsi="宋体" w:cs="宋体" w:eastAsiaTheme="minorEastAsia"/>
                <w:color w:val="000000"/>
                <w:kern w:val="0"/>
                <w:sz w:val="22"/>
                <w:lang w:eastAsia="zh-CN"/>
              </w:rPr>
            </w:pPr>
            <w:r>
              <w:rPr>
                <w:rFonts w:hint="eastAsia" w:ascii="仿宋" w:hAnsi="仿宋" w:eastAsia="仿宋" w:cs="仿宋"/>
                <w:i w:val="0"/>
                <w:iCs w:val="0"/>
                <w:color w:val="000000"/>
                <w:kern w:val="0"/>
                <w:sz w:val="20"/>
                <w:szCs w:val="20"/>
                <w:u w:val="none"/>
                <w:lang w:val="en-US" w:eastAsia="zh-CN" w:bidi="ar"/>
              </w:rPr>
              <w:t>单用途商业预付卡企业监督检查</w:t>
            </w:r>
          </w:p>
        </w:tc>
        <w:tc>
          <w:tcPr>
            <w:tcW w:w="8319" w:type="dxa"/>
            <w:noWrap w:val="0"/>
            <w:vAlign w:val="center"/>
          </w:tcPr>
          <w:p>
            <w:pPr>
              <w:widowControl/>
              <w:spacing w:line="240" w:lineRule="exact"/>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《单用途商业预付卡管理办法（试行）》（商务部令2012年第9号）第三十三条 商务部和地方人民政府商务主管部门应对发卡企业和售卡企业的单用途卡业务活动、内部控制和风险状况等进行定期或不定期的现场及非现场检查。发卡企业和售卡企业应配合商务主管部门的检查。</w:t>
            </w:r>
          </w:p>
          <w:p>
            <w:pPr>
              <w:widowControl/>
              <w:spacing w:line="240" w:lineRule="exact"/>
              <w:jc w:val="left"/>
              <w:rPr>
                <w:rFonts w:hint="eastAsia" w:ascii="宋体" w:hAnsi="宋体" w:cs="宋体" w:eastAsiaTheme="minorEastAsia"/>
                <w:color w:val="000000"/>
                <w:kern w:val="0"/>
                <w:sz w:val="22"/>
                <w:lang w:eastAsia="zh-CN"/>
              </w:rPr>
            </w:pPr>
            <w:r>
              <w:rPr>
                <w:rFonts w:hint="eastAsia" w:ascii="仿宋" w:hAnsi="仿宋" w:eastAsia="仿宋" w:cs="仿宋"/>
                <w:i w:val="0"/>
                <w:iCs w:val="0"/>
                <w:color w:val="000000"/>
                <w:kern w:val="0"/>
                <w:sz w:val="20"/>
                <w:szCs w:val="20"/>
                <w:u w:val="none"/>
                <w:lang w:val="en-US" w:eastAsia="zh-CN" w:bidi="ar"/>
              </w:rPr>
              <w:t>检查内容：1.是否按规定备案；2.是否存在将预收资金用于投资和借贷的行为；3.是否确定一个银行账户作为资金存管账户并与存管银行签订资金存管协议；4.是否按规定填报上一季度单用途卡的业务情况；5.是否按规定建立业务处理系统并保障其运行。</w:t>
            </w:r>
          </w:p>
        </w:tc>
        <w:tc>
          <w:tcPr>
            <w:tcW w:w="1441" w:type="dxa"/>
            <w:noWrap w:val="0"/>
            <w:vAlign w:val="center"/>
          </w:tcPr>
          <w:p>
            <w:pPr>
              <w:widowControl/>
              <w:spacing w:line="240" w:lineRule="exact"/>
              <w:jc w:val="center"/>
              <w:rPr>
                <w:rFonts w:hint="eastAsia" w:ascii="宋体" w:hAnsi="宋体" w:cs="宋体"/>
                <w:color w:val="000000"/>
                <w:kern w:val="0"/>
                <w:sz w:val="22"/>
                <w:lang w:eastAsia="zh-CN"/>
              </w:rPr>
            </w:pPr>
            <w:r>
              <w:rPr>
                <w:rFonts w:hint="eastAsia" w:ascii="仿宋" w:hAnsi="仿宋" w:eastAsia="仿宋" w:cs="仿宋"/>
                <w:i w:val="0"/>
                <w:iCs w:val="0"/>
                <w:color w:val="000000"/>
                <w:kern w:val="0"/>
                <w:sz w:val="20"/>
                <w:szCs w:val="20"/>
                <w:u w:val="none"/>
                <w:lang w:val="en-US" w:eastAsia="zh-CN" w:bidi="ar"/>
              </w:rPr>
              <w:t>一般检查事项</w:t>
            </w:r>
          </w:p>
        </w:tc>
        <w:tc>
          <w:tcPr>
            <w:tcW w:w="1231" w:type="dxa"/>
            <w:noWrap w:val="0"/>
            <w:vAlign w:val="center"/>
          </w:tcPr>
          <w:p>
            <w:pPr>
              <w:widowControl/>
              <w:spacing w:line="240" w:lineRule="exact"/>
              <w:jc w:val="center"/>
              <w:rPr>
                <w:rFonts w:hint="eastAsia" w:ascii="宋体" w:hAnsi="宋体" w:cs="宋体" w:eastAsiaTheme="minorEastAsia"/>
                <w:color w:val="000000"/>
                <w:kern w:val="0"/>
                <w:sz w:val="22"/>
                <w:lang w:eastAsia="zh-CN"/>
              </w:rPr>
            </w:pPr>
            <w:r>
              <w:rPr>
                <w:rFonts w:hint="eastAsia" w:ascii="仿宋" w:hAnsi="仿宋" w:eastAsia="仿宋" w:cs="仿宋"/>
                <w:i w:val="0"/>
                <w:iCs w:val="0"/>
                <w:color w:val="000000"/>
                <w:kern w:val="0"/>
                <w:sz w:val="20"/>
                <w:szCs w:val="20"/>
                <w:u w:val="none"/>
                <w:lang w:val="en-US" w:eastAsia="zh-CN" w:bidi="ar"/>
              </w:rPr>
              <w:t>双随机、一公开</w:t>
            </w:r>
          </w:p>
        </w:tc>
        <w:tc>
          <w:tcPr>
            <w:tcW w:w="0" w:type="auto"/>
            <w:noWrap w:val="0"/>
            <w:vAlign w:val="center"/>
          </w:tcPr>
          <w:p>
            <w:pPr>
              <w:widowControl/>
              <w:spacing w:line="240" w:lineRule="exact"/>
              <w:jc w:val="center"/>
              <w:rPr>
                <w:rFonts w:hint="eastAsia" w:ascii="宋体" w:cs="宋体"/>
                <w:sz w:val="22"/>
                <w:szCs w:val="22"/>
                <w:lang w:val="en-US" w:eastAsia="zh-CN"/>
              </w:rPr>
            </w:pPr>
            <w:r>
              <w:rPr>
                <w:rFonts w:hint="eastAsia" w:ascii="仿宋" w:hAnsi="仿宋" w:eastAsia="仿宋" w:cs="仿宋"/>
                <w:i w:val="0"/>
                <w:iCs w:val="0"/>
                <w:color w:val="000000"/>
                <w:kern w:val="0"/>
                <w:sz w:val="20"/>
                <w:szCs w:val="20"/>
                <w:u w:val="none"/>
                <w:lang w:val="en-US" w:eastAsia="zh-CN" w:bidi="ar"/>
              </w:rPr>
              <w:t>全市单用途预付卡规模发卡企业</w:t>
            </w:r>
          </w:p>
        </w:tc>
        <w:tc>
          <w:tcPr>
            <w:tcW w:w="0" w:type="auto"/>
            <w:noWrap w:val="0"/>
            <w:vAlign w:val="center"/>
          </w:tcPr>
          <w:p>
            <w:pPr>
              <w:widowControl/>
              <w:spacing w:line="240" w:lineRule="exact"/>
              <w:jc w:val="center"/>
              <w:rPr>
                <w:rFonts w:hint="default" w:ascii="宋体" w:cs="宋体"/>
                <w:sz w:val="22"/>
                <w:lang w:val="en-US" w:eastAsia="zh-CN"/>
              </w:rPr>
            </w:pPr>
            <w:r>
              <w:rPr>
                <w:rFonts w:hint="eastAsia" w:ascii="仿宋" w:hAnsi="仿宋" w:eastAsia="仿宋" w:cs="仿宋"/>
                <w:i w:val="0"/>
                <w:iCs w:val="0"/>
                <w:color w:val="000000"/>
                <w:kern w:val="0"/>
                <w:sz w:val="20"/>
                <w:szCs w:val="20"/>
                <w:u w:val="none"/>
                <w:lang w:val="en-US" w:eastAsia="zh-CN" w:bidi="ar"/>
              </w:rPr>
              <w:t>市商务局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5" w:hRule="atLeast"/>
          <w:jc w:val="center"/>
        </w:trPr>
        <w:tc>
          <w:tcPr>
            <w:tcW w:w="0" w:type="auto"/>
            <w:noWrap w:val="0"/>
            <w:vAlign w:val="center"/>
          </w:tcPr>
          <w:p>
            <w:pPr>
              <w:adjustRightInd w:val="0"/>
              <w:snapToGrid w:val="0"/>
              <w:spacing w:line="300" w:lineRule="exact"/>
              <w:jc w:val="center"/>
              <w:rPr>
                <w:rFonts w:hint="eastAsia" w:ascii="黑体" w:hAnsi="黑体" w:eastAsia="黑体" w:cs="黑体"/>
                <w:bCs/>
                <w:kern w:val="0"/>
                <w:sz w:val="24"/>
                <w:szCs w:val="24"/>
                <w:lang w:val="en-US" w:eastAsia="zh-CN" w:bidi="ar-SA"/>
              </w:rPr>
            </w:pPr>
            <w:r>
              <w:rPr>
                <w:rFonts w:hint="eastAsia" w:ascii="黑体" w:hAnsi="黑体" w:eastAsia="黑体" w:cs="黑体"/>
                <w:bCs/>
                <w:kern w:val="0"/>
                <w:sz w:val="24"/>
                <w:szCs w:val="24"/>
              </w:rPr>
              <w:t>序号</w:t>
            </w:r>
          </w:p>
        </w:tc>
        <w:tc>
          <w:tcPr>
            <w:tcW w:w="0" w:type="auto"/>
            <w:noWrap w:val="0"/>
            <w:vAlign w:val="center"/>
          </w:tcPr>
          <w:p>
            <w:pPr>
              <w:adjustRightInd w:val="0"/>
              <w:snapToGrid w:val="0"/>
              <w:spacing w:line="300" w:lineRule="exact"/>
              <w:jc w:val="center"/>
              <w:rPr>
                <w:rFonts w:hint="eastAsia" w:eastAsia="黑体" w:asciiTheme="minorHAnsi" w:hAnsiTheme="minorHAnsi" w:cstheme="minorBidi"/>
                <w:kern w:val="2"/>
                <w:sz w:val="21"/>
                <w:szCs w:val="24"/>
                <w:lang w:val="en-US" w:eastAsia="zh-CN" w:bidi="ar-SA"/>
              </w:rPr>
            </w:pPr>
            <w:r>
              <w:rPr>
                <w:rFonts w:hint="eastAsia" w:ascii="黑体" w:hAnsi="黑体" w:eastAsia="黑体" w:cs="黑体"/>
                <w:bCs/>
                <w:kern w:val="0"/>
                <w:sz w:val="24"/>
                <w:szCs w:val="24"/>
              </w:rPr>
              <w:t>抽查事项</w:t>
            </w:r>
            <w:r>
              <w:rPr>
                <w:rFonts w:hint="eastAsia" w:ascii="黑体" w:hAnsi="黑体" w:eastAsia="黑体" w:cs="黑体"/>
                <w:bCs/>
                <w:kern w:val="0"/>
                <w:sz w:val="24"/>
                <w:szCs w:val="24"/>
                <w:lang w:eastAsia="zh-CN"/>
              </w:rPr>
              <w:t>名称</w:t>
            </w:r>
          </w:p>
        </w:tc>
        <w:tc>
          <w:tcPr>
            <w:tcW w:w="8319" w:type="dxa"/>
            <w:noWrap w:val="0"/>
            <w:vAlign w:val="center"/>
          </w:tcPr>
          <w:p>
            <w:pPr>
              <w:adjustRightInd w:val="0"/>
              <w:snapToGrid w:val="0"/>
              <w:spacing w:line="300" w:lineRule="exact"/>
              <w:jc w:val="center"/>
              <w:rPr>
                <w:rFonts w:hint="eastAsia" w:eastAsia="黑体" w:asciiTheme="minorHAnsi" w:hAnsiTheme="minorHAnsi" w:cstheme="minorBidi"/>
                <w:kern w:val="2"/>
                <w:sz w:val="21"/>
                <w:szCs w:val="24"/>
                <w:lang w:val="en-US" w:eastAsia="zh-CN" w:bidi="ar-SA"/>
              </w:rPr>
            </w:pPr>
            <w:r>
              <w:rPr>
                <w:rFonts w:hint="eastAsia" w:ascii="黑体" w:hAnsi="黑体" w:eastAsia="黑体" w:cs="黑体"/>
                <w:bCs/>
                <w:kern w:val="0"/>
                <w:sz w:val="24"/>
                <w:szCs w:val="24"/>
                <w:lang w:eastAsia="zh-CN"/>
              </w:rPr>
              <w:t>检查依据及检查内容</w:t>
            </w:r>
          </w:p>
        </w:tc>
        <w:tc>
          <w:tcPr>
            <w:tcW w:w="1441" w:type="dxa"/>
            <w:noWrap w:val="0"/>
            <w:vAlign w:val="center"/>
          </w:tcPr>
          <w:p>
            <w:pPr>
              <w:adjustRightInd w:val="0"/>
              <w:snapToGrid w:val="0"/>
              <w:spacing w:line="300" w:lineRule="exact"/>
              <w:jc w:val="center"/>
              <w:rPr>
                <w:rFonts w:hint="eastAsia" w:ascii="黑体" w:hAnsi="黑体" w:eastAsia="黑体" w:cs="黑体"/>
                <w:bCs/>
                <w:kern w:val="0"/>
                <w:sz w:val="24"/>
                <w:szCs w:val="24"/>
                <w:lang w:val="en-US" w:eastAsia="zh-CN" w:bidi="ar-SA"/>
              </w:rPr>
            </w:pPr>
            <w:r>
              <w:rPr>
                <w:rFonts w:hint="eastAsia" w:ascii="黑体" w:hAnsi="黑体" w:eastAsia="黑体" w:cs="黑体"/>
                <w:bCs/>
                <w:kern w:val="0"/>
                <w:sz w:val="24"/>
                <w:szCs w:val="24"/>
                <w:lang w:eastAsia="zh-CN"/>
              </w:rPr>
              <w:t>事项类别</w:t>
            </w:r>
          </w:p>
        </w:tc>
        <w:tc>
          <w:tcPr>
            <w:tcW w:w="1231" w:type="dxa"/>
            <w:noWrap w:val="0"/>
            <w:vAlign w:val="center"/>
          </w:tcPr>
          <w:p>
            <w:pPr>
              <w:adjustRightInd w:val="0"/>
              <w:snapToGrid w:val="0"/>
              <w:spacing w:line="300" w:lineRule="exact"/>
              <w:jc w:val="center"/>
              <w:rPr>
                <w:rFonts w:hint="eastAsia" w:ascii="黑体" w:hAnsi="黑体" w:eastAsia="黑体" w:cs="黑体"/>
                <w:bCs/>
                <w:kern w:val="0"/>
                <w:sz w:val="24"/>
                <w:szCs w:val="24"/>
                <w:lang w:val="en-US" w:eastAsia="zh-CN" w:bidi="ar-SA"/>
              </w:rPr>
            </w:pPr>
            <w:r>
              <w:rPr>
                <w:rFonts w:hint="eastAsia" w:ascii="黑体" w:hAnsi="黑体" w:eastAsia="黑体" w:cs="黑体"/>
                <w:bCs/>
                <w:kern w:val="0"/>
                <w:sz w:val="24"/>
                <w:szCs w:val="24"/>
                <w:lang w:eastAsia="zh-CN"/>
              </w:rPr>
              <w:t>检</w:t>
            </w:r>
            <w:r>
              <w:rPr>
                <w:rFonts w:hint="eastAsia" w:ascii="黑体" w:hAnsi="黑体" w:eastAsia="黑体" w:cs="黑体"/>
                <w:bCs/>
                <w:kern w:val="0"/>
                <w:sz w:val="24"/>
                <w:szCs w:val="24"/>
              </w:rPr>
              <w:t>查</w:t>
            </w:r>
            <w:r>
              <w:rPr>
                <w:rFonts w:hint="eastAsia" w:ascii="黑体" w:hAnsi="黑体" w:eastAsia="黑体" w:cs="黑体"/>
                <w:bCs/>
                <w:kern w:val="0"/>
                <w:sz w:val="24"/>
                <w:szCs w:val="24"/>
                <w:lang w:eastAsia="zh-CN"/>
              </w:rPr>
              <w:t>方式（双随机、一公开</w:t>
            </w:r>
            <w:r>
              <w:rPr>
                <w:rFonts w:hint="eastAsia" w:ascii="黑体" w:hAnsi="黑体" w:eastAsia="黑体" w:cs="黑体"/>
                <w:bCs/>
                <w:kern w:val="0"/>
                <w:sz w:val="24"/>
                <w:szCs w:val="24"/>
                <w:lang w:val="en-US" w:eastAsia="zh-CN"/>
              </w:rPr>
              <w:t>/信用监管/重点监管</w:t>
            </w:r>
            <w:r>
              <w:rPr>
                <w:rFonts w:hint="eastAsia" w:ascii="黑体" w:hAnsi="黑体" w:eastAsia="黑体" w:cs="黑体"/>
                <w:bCs/>
                <w:kern w:val="0"/>
                <w:sz w:val="24"/>
                <w:szCs w:val="24"/>
                <w:lang w:eastAsia="zh-CN"/>
              </w:rPr>
              <w:t>）</w:t>
            </w:r>
          </w:p>
        </w:tc>
        <w:tc>
          <w:tcPr>
            <w:tcW w:w="0" w:type="auto"/>
            <w:noWrap w:val="0"/>
            <w:vAlign w:val="center"/>
          </w:tcPr>
          <w:p>
            <w:pPr>
              <w:adjustRightInd w:val="0"/>
              <w:snapToGrid w:val="0"/>
              <w:spacing w:line="300" w:lineRule="exact"/>
              <w:jc w:val="center"/>
              <w:rPr>
                <w:rFonts w:hint="eastAsia" w:ascii="黑体" w:hAnsi="黑体" w:eastAsia="黑体" w:cs="黑体"/>
                <w:bCs/>
                <w:kern w:val="0"/>
                <w:sz w:val="22"/>
                <w:szCs w:val="22"/>
                <w:lang w:val="en-US" w:eastAsia="zh-CN" w:bidi="ar-SA"/>
              </w:rPr>
            </w:pPr>
            <w:r>
              <w:rPr>
                <w:rFonts w:hint="eastAsia" w:ascii="黑体" w:hAnsi="黑体" w:eastAsia="黑体" w:cs="黑体"/>
                <w:bCs/>
                <w:kern w:val="0"/>
                <w:sz w:val="24"/>
                <w:szCs w:val="24"/>
                <w:lang w:eastAsia="zh-CN"/>
              </w:rPr>
              <w:t>检查对象</w:t>
            </w:r>
          </w:p>
        </w:tc>
        <w:tc>
          <w:tcPr>
            <w:tcW w:w="0" w:type="auto"/>
            <w:noWrap w:val="0"/>
            <w:vAlign w:val="center"/>
          </w:tcPr>
          <w:p>
            <w:pPr>
              <w:adjustRightInd w:val="0"/>
              <w:snapToGrid w:val="0"/>
              <w:spacing w:line="300" w:lineRule="exact"/>
              <w:jc w:val="center"/>
              <w:rPr>
                <w:rFonts w:hint="eastAsia" w:ascii="黑体" w:hAnsi="黑体" w:eastAsia="黑体" w:cs="黑体"/>
                <w:bCs/>
                <w:kern w:val="0"/>
                <w:sz w:val="24"/>
                <w:szCs w:val="24"/>
                <w:lang w:val="en-US" w:eastAsia="zh-CN" w:bidi="ar-SA"/>
              </w:rPr>
            </w:pPr>
            <w:r>
              <w:rPr>
                <w:rFonts w:hint="eastAsia" w:ascii="黑体" w:hAnsi="黑体" w:eastAsia="黑体" w:cs="黑体"/>
                <w:bCs/>
                <w:kern w:val="0"/>
                <w:sz w:val="24"/>
                <w:szCs w:val="24"/>
                <w:lang w:eastAsia="zh-CN"/>
              </w:rPr>
              <w:t>抽查主体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15" w:hRule="atLeast"/>
          <w:jc w:val="center"/>
        </w:trPr>
        <w:tc>
          <w:tcPr>
            <w:tcW w:w="0" w:type="auto"/>
            <w:noWrap w:val="0"/>
            <w:vAlign w:val="center"/>
          </w:tcPr>
          <w:p>
            <w:pPr>
              <w:widowControl/>
              <w:spacing w:line="240" w:lineRule="exact"/>
              <w:jc w:val="center"/>
              <w:rPr>
                <w:rFonts w:hint="default" w:ascii="宋体" w:cs="宋体"/>
                <w:kern w:val="0"/>
                <w:sz w:val="22"/>
                <w:lang w:val="en-US" w:eastAsia="zh-CN"/>
              </w:rPr>
            </w:pPr>
            <w:r>
              <w:rPr>
                <w:rFonts w:hint="eastAsia" w:ascii="宋体" w:cs="宋体"/>
                <w:kern w:val="0"/>
                <w:sz w:val="22"/>
                <w:lang w:val="en-US" w:eastAsia="zh-CN"/>
              </w:rPr>
              <w:t>3</w:t>
            </w:r>
          </w:p>
        </w:tc>
        <w:tc>
          <w:tcPr>
            <w:tcW w:w="0" w:type="auto"/>
            <w:noWrap w:val="0"/>
            <w:vAlign w:val="center"/>
          </w:tcPr>
          <w:p>
            <w:pPr>
              <w:widowControl/>
              <w:spacing w:line="240" w:lineRule="exac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拍卖企业监督检查</w:t>
            </w:r>
          </w:p>
        </w:tc>
        <w:tc>
          <w:tcPr>
            <w:tcW w:w="8319" w:type="dxa"/>
            <w:noWrap w:val="0"/>
            <w:vAlign w:val="center"/>
          </w:tcPr>
          <w:p>
            <w:pPr>
              <w:widowControl/>
              <w:spacing w:line="240" w:lineRule="exact"/>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1.《中华人民共和国拍卖法》（1996年7月5日审议通过，2015年4月24日修订）第五条第二款：省、自治区、直辖市的人民政府和设区的市的人民政府负责管理拍卖业的部门对本行政区域内的拍卖业实施监督管理。</w:t>
            </w:r>
          </w:p>
          <w:p>
            <w:pPr>
              <w:widowControl/>
              <w:spacing w:line="240" w:lineRule="exact"/>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2.《拍卖管理办法》第四条：商务部是拍卖行业主管部门，对全国拍卖业实施监督管理。 省、自治区、直辖市人民政府（以下简称省级）和设区的市人民政府(以下简称市级)商务主管部门对本行政区域内的拍卖业实施监督管理。</w:t>
            </w:r>
          </w:p>
          <w:p>
            <w:pPr>
              <w:widowControl/>
              <w:spacing w:line="240" w:lineRule="exact"/>
              <w:jc w:val="left"/>
              <w:rPr>
                <w:rFonts w:hint="eastAsia" w:ascii="宋体" w:hAnsi="宋体" w:cs="宋体" w:eastAsiaTheme="minorEastAsia"/>
                <w:color w:val="000000"/>
                <w:kern w:val="0"/>
                <w:sz w:val="22"/>
                <w:lang w:eastAsia="zh-CN"/>
              </w:rPr>
            </w:pPr>
            <w:r>
              <w:rPr>
                <w:rFonts w:hint="eastAsia" w:ascii="仿宋" w:hAnsi="仿宋" w:eastAsia="仿宋" w:cs="仿宋"/>
                <w:i w:val="0"/>
                <w:iCs w:val="0"/>
                <w:color w:val="000000"/>
                <w:kern w:val="0"/>
                <w:sz w:val="20"/>
                <w:szCs w:val="20"/>
                <w:u w:val="none"/>
                <w:lang w:val="en-US" w:eastAsia="zh-CN" w:bidi="ar"/>
              </w:rPr>
              <w:t>检查内容：1.举办拍卖会情况；2.拍卖经营批准证书管理情况；3.拍卖师管理情况；4.拍卖活动公示及拍卖标的物展示情况。</w:t>
            </w:r>
          </w:p>
        </w:tc>
        <w:tc>
          <w:tcPr>
            <w:tcW w:w="1441" w:type="dxa"/>
            <w:noWrap w:val="0"/>
            <w:vAlign w:val="center"/>
          </w:tcPr>
          <w:p>
            <w:pPr>
              <w:widowControl/>
              <w:spacing w:line="240" w:lineRule="exact"/>
              <w:jc w:val="center"/>
              <w:rPr>
                <w:rFonts w:hint="eastAsia" w:ascii="宋体" w:hAnsi="宋体" w:cs="宋体"/>
                <w:color w:val="000000"/>
                <w:kern w:val="0"/>
                <w:sz w:val="22"/>
                <w:lang w:eastAsia="zh-CN"/>
              </w:rPr>
            </w:pPr>
            <w:r>
              <w:rPr>
                <w:rFonts w:hint="eastAsia" w:ascii="仿宋" w:hAnsi="仿宋" w:eastAsia="仿宋" w:cs="仿宋"/>
                <w:i w:val="0"/>
                <w:iCs w:val="0"/>
                <w:color w:val="000000"/>
                <w:kern w:val="0"/>
                <w:sz w:val="20"/>
                <w:szCs w:val="20"/>
                <w:u w:val="none"/>
                <w:lang w:val="en-US" w:eastAsia="zh-CN" w:bidi="ar"/>
              </w:rPr>
              <w:t>一般检查事项</w:t>
            </w:r>
          </w:p>
        </w:tc>
        <w:tc>
          <w:tcPr>
            <w:tcW w:w="1231" w:type="dxa"/>
            <w:noWrap w:val="0"/>
            <w:vAlign w:val="center"/>
          </w:tcPr>
          <w:p>
            <w:pPr>
              <w:widowControl/>
              <w:spacing w:line="240" w:lineRule="exact"/>
              <w:jc w:val="center"/>
              <w:rPr>
                <w:rFonts w:hint="eastAsia" w:ascii="宋体" w:hAnsi="宋体" w:cs="宋体"/>
                <w:color w:val="000000"/>
                <w:kern w:val="0"/>
                <w:sz w:val="22"/>
                <w:lang w:eastAsia="zh-CN"/>
              </w:rPr>
            </w:pPr>
            <w:r>
              <w:rPr>
                <w:rFonts w:hint="eastAsia" w:ascii="仿宋" w:hAnsi="仿宋" w:eastAsia="仿宋" w:cs="仿宋"/>
                <w:i w:val="0"/>
                <w:iCs w:val="0"/>
                <w:color w:val="000000"/>
                <w:kern w:val="0"/>
                <w:sz w:val="20"/>
                <w:szCs w:val="20"/>
                <w:u w:val="none"/>
                <w:lang w:val="en-US" w:eastAsia="zh-CN" w:bidi="ar"/>
              </w:rPr>
              <w:t>双随机、一公开</w:t>
            </w:r>
          </w:p>
        </w:tc>
        <w:tc>
          <w:tcPr>
            <w:tcW w:w="0" w:type="auto"/>
            <w:noWrap w:val="0"/>
            <w:vAlign w:val="center"/>
          </w:tcPr>
          <w:p>
            <w:pPr>
              <w:widowControl/>
              <w:spacing w:line="240" w:lineRule="exact"/>
              <w:jc w:val="center"/>
              <w:rPr>
                <w:rFonts w:hint="eastAsia" w:ascii="宋体" w:cs="宋体"/>
                <w:sz w:val="22"/>
                <w:szCs w:val="22"/>
                <w:lang w:val="en-US" w:eastAsia="zh-CN"/>
              </w:rPr>
            </w:pPr>
            <w:r>
              <w:rPr>
                <w:rFonts w:hint="eastAsia" w:ascii="仿宋" w:hAnsi="仿宋" w:eastAsia="仿宋" w:cs="仿宋"/>
                <w:i w:val="0"/>
                <w:iCs w:val="0"/>
                <w:color w:val="000000"/>
                <w:kern w:val="0"/>
                <w:sz w:val="20"/>
                <w:szCs w:val="20"/>
                <w:u w:val="none"/>
                <w:lang w:val="en-US" w:eastAsia="zh-CN" w:bidi="ar"/>
              </w:rPr>
              <w:t>全市拍卖企业</w:t>
            </w:r>
          </w:p>
        </w:tc>
        <w:tc>
          <w:tcPr>
            <w:tcW w:w="0" w:type="auto"/>
            <w:noWrap w:val="0"/>
            <w:vAlign w:val="center"/>
          </w:tcPr>
          <w:p>
            <w:pPr>
              <w:widowControl/>
              <w:spacing w:line="240" w:lineRule="exact"/>
              <w:jc w:val="center"/>
              <w:rPr>
                <w:rFonts w:hint="eastAsia" w:ascii="宋体" w:cs="宋体"/>
                <w:sz w:val="22"/>
                <w:lang w:val="en-US" w:eastAsia="zh-CN"/>
              </w:rPr>
            </w:pPr>
            <w:r>
              <w:rPr>
                <w:rFonts w:hint="eastAsia" w:ascii="仿宋" w:hAnsi="仿宋" w:eastAsia="仿宋" w:cs="仿宋"/>
                <w:i w:val="0"/>
                <w:iCs w:val="0"/>
                <w:color w:val="000000"/>
                <w:kern w:val="0"/>
                <w:sz w:val="20"/>
                <w:szCs w:val="20"/>
                <w:u w:val="none"/>
                <w:lang w:val="en-US" w:eastAsia="zh-CN" w:bidi="ar"/>
              </w:rPr>
              <w:t>市商务局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0" w:hRule="atLeast"/>
          <w:jc w:val="center"/>
        </w:trPr>
        <w:tc>
          <w:tcPr>
            <w:tcW w:w="0" w:type="auto"/>
            <w:noWrap w:val="0"/>
            <w:vAlign w:val="center"/>
          </w:tcPr>
          <w:p>
            <w:pPr>
              <w:widowControl/>
              <w:spacing w:line="240" w:lineRule="exact"/>
              <w:jc w:val="center"/>
              <w:rPr>
                <w:rFonts w:hint="default" w:ascii="宋体" w:cs="宋体"/>
                <w:kern w:val="0"/>
                <w:sz w:val="22"/>
                <w:lang w:val="en-US" w:eastAsia="zh-CN"/>
              </w:rPr>
            </w:pPr>
            <w:r>
              <w:rPr>
                <w:rFonts w:hint="eastAsia" w:ascii="宋体" w:cs="宋体"/>
                <w:kern w:val="0"/>
                <w:sz w:val="22"/>
                <w:lang w:val="en-US" w:eastAsia="zh-CN"/>
              </w:rPr>
              <w:t>4</w:t>
            </w:r>
          </w:p>
        </w:tc>
        <w:tc>
          <w:tcPr>
            <w:tcW w:w="0" w:type="auto"/>
            <w:noWrap w:val="0"/>
            <w:vAlign w:val="center"/>
          </w:tcPr>
          <w:p>
            <w:pPr>
              <w:widowControl/>
              <w:spacing w:line="240" w:lineRule="exac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对外劳务合作经营企业的监督检查</w:t>
            </w:r>
          </w:p>
        </w:tc>
        <w:tc>
          <w:tcPr>
            <w:tcW w:w="8319" w:type="dxa"/>
            <w:noWrap w:val="0"/>
            <w:vAlign w:val="center"/>
          </w:tcPr>
          <w:p>
            <w:pPr>
              <w:widowControl/>
              <w:spacing w:line="240" w:lineRule="exact"/>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外劳务合作管理条例》（国务院令第620号）第四条第二款：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p>
            <w:pPr>
              <w:widowControl/>
              <w:spacing w:line="240" w:lineRule="exact"/>
              <w:jc w:val="left"/>
              <w:rPr>
                <w:rFonts w:hint="eastAsia" w:ascii="宋体" w:hAnsi="宋体" w:cs="宋体"/>
                <w:color w:val="000000"/>
                <w:kern w:val="0"/>
                <w:sz w:val="22"/>
                <w:lang w:eastAsia="zh-CN"/>
              </w:rPr>
            </w:pPr>
            <w:r>
              <w:rPr>
                <w:rFonts w:hint="eastAsia" w:ascii="仿宋" w:hAnsi="仿宋" w:eastAsia="仿宋" w:cs="仿宋"/>
                <w:i w:val="0"/>
                <w:iCs w:val="0"/>
                <w:color w:val="000000"/>
                <w:kern w:val="0"/>
                <w:sz w:val="20"/>
                <w:szCs w:val="20"/>
                <w:u w:val="none"/>
                <w:lang w:val="en-US" w:eastAsia="zh-CN" w:bidi="ar"/>
              </w:rPr>
              <w:t>检查内容：对外劳务合作经营企业是否遵守管理条例规定。</w:t>
            </w:r>
          </w:p>
        </w:tc>
        <w:tc>
          <w:tcPr>
            <w:tcW w:w="1441" w:type="dxa"/>
            <w:noWrap w:val="0"/>
            <w:vAlign w:val="center"/>
          </w:tcPr>
          <w:p>
            <w:pPr>
              <w:widowControl/>
              <w:spacing w:line="240" w:lineRule="exact"/>
              <w:jc w:val="center"/>
              <w:rPr>
                <w:rFonts w:hint="eastAsia" w:ascii="宋体" w:hAnsi="宋体" w:cs="宋体"/>
                <w:color w:val="000000"/>
                <w:kern w:val="0"/>
                <w:sz w:val="22"/>
                <w:lang w:eastAsia="zh-CN"/>
              </w:rPr>
            </w:pPr>
            <w:r>
              <w:rPr>
                <w:rFonts w:hint="eastAsia" w:ascii="仿宋" w:hAnsi="仿宋" w:eastAsia="仿宋" w:cs="仿宋"/>
                <w:i w:val="0"/>
                <w:iCs w:val="0"/>
                <w:color w:val="000000"/>
                <w:kern w:val="0"/>
                <w:sz w:val="20"/>
                <w:szCs w:val="20"/>
                <w:u w:val="none"/>
                <w:lang w:val="en-US" w:eastAsia="zh-CN" w:bidi="ar"/>
              </w:rPr>
              <w:t>一般检查事项</w:t>
            </w:r>
          </w:p>
        </w:tc>
        <w:tc>
          <w:tcPr>
            <w:tcW w:w="1231" w:type="dxa"/>
            <w:noWrap w:val="0"/>
            <w:vAlign w:val="center"/>
          </w:tcPr>
          <w:p>
            <w:pPr>
              <w:widowControl/>
              <w:spacing w:line="240" w:lineRule="exact"/>
              <w:jc w:val="center"/>
              <w:rPr>
                <w:rFonts w:hint="eastAsia" w:ascii="宋体" w:hAnsi="宋体" w:cs="宋体"/>
                <w:color w:val="000000"/>
                <w:kern w:val="0"/>
                <w:sz w:val="22"/>
                <w:lang w:eastAsia="zh-CN"/>
              </w:rPr>
            </w:pPr>
            <w:r>
              <w:rPr>
                <w:rFonts w:hint="eastAsia" w:ascii="仿宋" w:hAnsi="仿宋" w:eastAsia="仿宋" w:cs="仿宋"/>
                <w:i w:val="0"/>
                <w:iCs w:val="0"/>
                <w:color w:val="000000"/>
                <w:kern w:val="0"/>
                <w:sz w:val="20"/>
                <w:szCs w:val="20"/>
                <w:u w:val="none"/>
                <w:lang w:val="en-US" w:eastAsia="zh-CN" w:bidi="ar"/>
              </w:rPr>
              <w:t>双随机、一公开</w:t>
            </w:r>
          </w:p>
        </w:tc>
        <w:tc>
          <w:tcPr>
            <w:tcW w:w="0" w:type="auto"/>
            <w:noWrap w:val="0"/>
            <w:vAlign w:val="center"/>
          </w:tcPr>
          <w:p>
            <w:pPr>
              <w:widowControl/>
              <w:spacing w:line="240" w:lineRule="exact"/>
              <w:jc w:val="center"/>
              <w:rPr>
                <w:rFonts w:hint="eastAsia" w:ascii="宋体" w:cs="宋体"/>
                <w:sz w:val="22"/>
                <w:szCs w:val="22"/>
                <w:lang w:val="en-US" w:eastAsia="zh-CN"/>
              </w:rPr>
            </w:pPr>
            <w:r>
              <w:rPr>
                <w:rFonts w:hint="eastAsia" w:ascii="仿宋" w:hAnsi="仿宋" w:eastAsia="仿宋" w:cs="仿宋"/>
                <w:i w:val="0"/>
                <w:iCs w:val="0"/>
                <w:color w:val="000000"/>
                <w:kern w:val="0"/>
                <w:sz w:val="20"/>
                <w:szCs w:val="20"/>
                <w:u w:val="none"/>
                <w:lang w:val="en-US" w:eastAsia="zh-CN" w:bidi="ar"/>
              </w:rPr>
              <w:t>全市对外劳务合作经营企业</w:t>
            </w:r>
          </w:p>
        </w:tc>
        <w:tc>
          <w:tcPr>
            <w:tcW w:w="0" w:type="auto"/>
            <w:noWrap w:val="0"/>
            <w:vAlign w:val="center"/>
          </w:tcPr>
          <w:p>
            <w:pPr>
              <w:widowControl/>
              <w:spacing w:line="240" w:lineRule="exact"/>
              <w:jc w:val="center"/>
              <w:rPr>
                <w:rFonts w:hint="eastAsia" w:ascii="宋体" w:cs="宋体"/>
                <w:sz w:val="22"/>
                <w:lang w:val="en-US" w:eastAsia="zh-CN"/>
              </w:rPr>
            </w:pPr>
            <w:r>
              <w:rPr>
                <w:rFonts w:hint="eastAsia" w:ascii="仿宋" w:hAnsi="仿宋" w:eastAsia="仿宋" w:cs="仿宋"/>
                <w:i w:val="0"/>
                <w:iCs w:val="0"/>
                <w:color w:val="000000"/>
                <w:kern w:val="0"/>
                <w:sz w:val="20"/>
                <w:szCs w:val="20"/>
                <w:u w:val="none"/>
                <w:lang w:val="en-US" w:eastAsia="zh-CN" w:bidi="ar"/>
              </w:rPr>
              <w:t>市商务局</w:t>
            </w:r>
          </w:p>
        </w:tc>
      </w:tr>
    </w:tbl>
    <w:p>
      <w:pPr>
        <w:rPr>
          <w:rFonts w:hint="default"/>
          <w:color w:val="FF0000"/>
          <w:lang w:val="en-US" w:eastAsia="zh-CN"/>
        </w:rPr>
      </w:pPr>
      <w:bookmarkStart w:id="0" w:name="_GoBack"/>
      <w:bookmarkEnd w:id="0"/>
    </w:p>
    <w:sectPr>
      <w:headerReference r:id="rId3" w:type="default"/>
      <w:footerReference r:id="rId4" w:type="default"/>
      <w:pgSz w:w="16839" w:h="11907"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A01BF"/>
    <w:rsid w:val="00E85366"/>
    <w:rsid w:val="17DF4777"/>
    <w:rsid w:val="1B516A53"/>
    <w:rsid w:val="1E1C3CBE"/>
    <w:rsid w:val="1F585D2D"/>
    <w:rsid w:val="24215CFE"/>
    <w:rsid w:val="286A01BF"/>
    <w:rsid w:val="2A6C7FD1"/>
    <w:rsid w:val="2C410D0A"/>
    <w:rsid w:val="2CDD4664"/>
    <w:rsid w:val="37481A2C"/>
    <w:rsid w:val="44C20BE5"/>
    <w:rsid w:val="495F702E"/>
    <w:rsid w:val="4D9E2D68"/>
    <w:rsid w:val="4F465BEA"/>
    <w:rsid w:val="5ABF45EB"/>
    <w:rsid w:val="6BFB2AA5"/>
    <w:rsid w:val="6E7736A5"/>
    <w:rsid w:val="71FA7FA2"/>
    <w:rsid w:val="75FFF375"/>
    <w:rsid w:val="7B647CAE"/>
    <w:rsid w:val="7CD11EAA"/>
    <w:rsid w:val="7F17EB18"/>
    <w:rsid w:val="7FDBFCD1"/>
    <w:rsid w:val="7FFFCA69"/>
    <w:rsid w:val="9FFAF7AD"/>
    <w:rsid w:val="CBFD5E96"/>
    <w:rsid w:val="DF5D37C7"/>
    <w:rsid w:val="EFFAFCAC"/>
    <w:rsid w:val="F63F0504"/>
    <w:rsid w:val="F7F76F16"/>
    <w:rsid w:val="FFEEA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ind w:firstLine="420"/>
    </w:pPr>
    <w:rPr>
      <w:rFonts w:ascii="Times New Roman" w:hAnsi="Times New Roman" w:eastAsia="宋体" w:cs="Times New Roman"/>
      <w:b/>
      <w:bCs/>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2021-01-30T18:56:00Z</dcterms:created>
  <dc:creator>Administrator</dc:creator>
  <cp:lastModifiedBy>kylin</cp:lastModifiedBy>
  <cp:lastPrinted>2022-04-21T02:23:00Z</cp:lastPrinted>
  <dcterms:modified xsi:type="dcterms:W3CDTF">2023-07-18T10:40:42Z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